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仿宋" w:hAnsi="仿宋" w:eastAsia="仿宋" w:cs="仿宋"/>
          <w:b/>
          <w:kern w:val="28"/>
          <w:sz w:val="32"/>
        </w:rPr>
      </w:pPr>
      <w:bookmarkStart w:id="0" w:name="_GoBack"/>
      <w:bookmarkEnd w:id="0"/>
      <w:r>
        <w:rPr>
          <w:rFonts w:hint="eastAsia" w:ascii="仿宋" w:hAnsi="仿宋" w:eastAsia="仿宋" w:cs="仿宋"/>
          <w:b/>
          <w:kern w:val="28"/>
          <w:sz w:val="32"/>
        </w:rPr>
        <w:t>附件1： 资格审查条件</w:t>
      </w:r>
    </w:p>
    <w:p>
      <w:pPr>
        <w:adjustRightInd w:val="0"/>
        <w:spacing w:line="400" w:lineRule="exact"/>
        <w:jc w:val="center"/>
        <w:rPr>
          <w:rFonts w:ascii="仿宋" w:hAnsi="仿宋" w:eastAsia="仿宋" w:cs="仿宋"/>
          <w:b/>
          <w:kern w:val="28"/>
          <w:sz w:val="32"/>
          <w:szCs w:val="32"/>
        </w:rPr>
      </w:pPr>
    </w:p>
    <w:p>
      <w:pPr>
        <w:spacing w:line="360" w:lineRule="auto"/>
        <w:jc w:val="center"/>
        <w:rPr>
          <w:rStyle w:val="16"/>
          <w:rFonts w:ascii="仿宋" w:hAnsi="仿宋" w:eastAsia="仿宋" w:cs="仿宋"/>
          <w:b/>
          <w:sz w:val="32"/>
          <w:szCs w:val="32"/>
        </w:rPr>
      </w:pPr>
      <w:r>
        <w:rPr>
          <w:rStyle w:val="16"/>
          <w:rFonts w:hint="eastAsia" w:ascii="仿宋" w:hAnsi="仿宋" w:eastAsia="仿宋" w:cs="仿宋"/>
          <w:b/>
          <w:sz w:val="32"/>
          <w:szCs w:val="32"/>
        </w:rPr>
        <w:t>附录1  资格审查条件（资质最低条件）</w:t>
      </w:r>
    </w:p>
    <w:tbl>
      <w:tblPr>
        <w:tblStyle w:val="13"/>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8"/>
                <w:szCs w:val="28"/>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61" w:hRule="atLeast"/>
        </w:trPr>
        <w:tc>
          <w:tcPr>
            <w:tcW w:w="9322" w:type="dxa"/>
            <w:tcBorders>
              <w:top w:val="single" w:color="auto" w:sz="2" w:space="0"/>
              <w:left w:val="single" w:color="auto" w:sz="2" w:space="0"/>
              <w:bottom w:val="single" w:color="auto" w:sz="2" w:space="0"/>
              <w:right w:val="single" w:color="auto" w:sz="2" w:space="0"/>
            </w:tcBorders>
            <w:vAlign w:val="center"/>
          </w:tcPr>
          <w:p>
            <w:pPr>
              <w:spacing w:line="360" w:lineRule="auto"/>
              <w:ind w:firstLine="378" w:firstLineChars="135"/>
              <w:jc w:val="left"/>
              <w:rPr>
                <w:rFonts w:ascii="仿宋" w:hAnsi="仿宋" w:eastAsia="仿宋" w:cs="仿宋"/>
                <w:sz w:val="24"/>
                <w:szCs w:val="24"/>
              </w:rPr>
            </w:pPr>
            <w:r>
              <w:rPr>
                <w:rFonts w:hint="eastAsia" w:ascii="仿宋" w:hAnsi="仿宋" w:eastAsia="仿宋" w:cs="仿宋"/>
                <w:sz w:val="28"/>
                <w:szCs w:val="28"/>
              </w:rPr>
              <w:t>具备独立法人资格，具有有效企业营业执照或事业单位法人证书；具备交通运输部门颁发的道路运输经营许可证（含县际客运及以上范围）</w:t>
            </w:r>
          </w:p>
        </w:tc>
      </w:tr>
    </w:tbl>
    <w:p>
      <w:pPr>
        <w:jc w:val="center"/>
        <w:rPr>
          <w:rStyle w:val="17"/>
          <w:rFonts w:ascii="仿宋" w:hAnsi="仿宋" w:eastAsia="仿宋" w:cs="仿宋"/>
          <w:b/>
          <w:sz w:val="32"/>
          <w:szCs w:val="32"/>
        </w:rPr>
      </w:pPr>
    </w:p>
    <w:p>
      <w:pPr>
        <w:jc w:val="center"/>
        <w:rPr>
          <w:rStyle w:val="17"/>
          <w:rFonts w:ascii="仿宋" w:hAnsi="仿宋" w:eastAsia="仿宋" w:cs="仿宋"/>
          <w:b/>
          <w:sz w:val="21"/>
          <w:szCs w:val="21"/>
        </w:rPr>
      </w:pPr>
      <w:r>
        <w:rPr>
          <w:rStyle w:val="17"/>
          <w:rFonts w:hint="eastAsia" w:ascii="仿宋" w:hAnsi="仿宋" w:eastAsia="仿宋" w:cs="仿宋"/>
          <w:b/>
          <w:sz w:val="32"/>
          <w:szCs w:val="32"/>
        </w:rPr>
        <w:t>附录2  资格审查条件（</w:t>
      </w:r>
      <w:r>
        <w:rPr>
          <w:rFonts w:hint="eastAsia" w:ascii="仿宋" w:hAnsi="仿宋" w:eastAsia="仿宋" w:cs="仿宋"/>
          <w:b/>
          <w:sz w:val="32"/>
          <w:szCs w:val="28"/>
        </w:rPr>
        <w:t>业绩最低条件</w:t>
      </w:r>
      <w:r>
        <w:rPr>
          <w:rStyle w:val="17"/>
          <w:rFonts w:hint="eastAsia" w:ascii="仿宋" w:hAnsi="仿宋" w:eastAsia="仿宋" w:cs="仿宋"/>
          <w:b/>
          <w:sz w:val="32"/>
          <w:szCs w:val="32"/>
        </w:rPr>
        <w:t>）</w:t>
      </w:r>
    </w:p>
    <w:p>
      <w:pPr>
        <w:rPr>
          <w:rFonts w:ascii="仿宋" w:hAnsi="仿宋" w:eastAsia="仿宋" w:cs="仿宋"/>
          <w:b/>
          <w:szCs w:val="21"/>
        </w:rPr>
      </w:pPr>
    </w:p>
    <w:tbl>
      <w:tblPr>
        <w:tblStyle w:val="13"/>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vAlign w:val="center"/>
          </w:tcPr>
          <w:p>
            <w:pPr>
              <w:jc w:val="center"/>
              <w:rPr>
                <w:rFonts w:ascii="仿宋" w:hAnsi="仿宋" w:eastAsia="仿宋" w:cs="仿宋"/>
                <w:sz w:val="24"/>
                <w:szCs w:val="24"/>
              </w:rPr>
            </w:pPr>
            <w:r>
              <w:rPr>
                <w:rFonts w:hint="eastAsia" w:ascii="仿宋" w:hAnsi="仿宋" w:eastAsia="仿宋" w:cs="仿宋"/>
                <w:sz w:val="28"/>
                <w:szCs w:val="28"/>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vAlign w:val="center"/>
          </w:tcPr>
          <w:p>
            <w:pPr>
              <w:widowControl/>
              <w:spacing w:line="360" w:lineRule="auto"/>
              <w:ind w:firstLine="280" w:firstLineChars="100"/>
              <w:jc w:val="left"/>
              <w:rPr>
                <w:rFonts w:ascii="仿宋" w:hAnsi="仿宋" w:eastAsia="仿宋" w:cs="仿宋"/>
                <w:sz w:val="24"/>
                <w:szCs w:val="24"/>
              </w:rPr>
            </w:pPr>
            <w:r>
              <w:rPr>
                <w:rFonts w:hint="eastAsia" w:ascii="仿宋" w:hAnsi="仿宋" w:eastAsia="仿宋" w:cs="仿宋"/>
                <w:sz w:val="28"/>
                <w:szCs w:val="28"/>
              </w:rPr>
              <w:t>近3年内（2019年12月1日至今，以合同签订时间为准）至少承担过一项客车租赁项目。</w:t>
            </w:r>
          </w:p>
        </w:tc>
      </w:tr>
    </w:tbl>
    <w:p>
      <w:pPr>
        <w:jc w:val="center"/>
        <w:rPr>
          <w:rFonts w:ascii="仿宋" w:hAnsi="仿宋" w:eastAsia="仿宋" w:cs="仿宋"/>
          <w:b/>
          <w:sz w:val="32"/>
          <w:szCs w:val="28"/>
        </w:rPr>
      </w:pPr>
    </w:p>
    <w:p>
      <w:pPr>
        <w:spacing w:line="360" w:lineRule="auto"/>
        <w:jc w:val="center"/>
        <w:rPr>
          <w:rFonts w:ascii="仿宋" w:hAnsi="仿宋" w:eastAsia="仿宋" w:cs="仿宋"/>
          <w:b/>
          <w:sz w:val="32"/>
          <w:szCs w:val="28"/>
        </w:rPr>
      </w:pPr>
    </w:p>
    <w:p>
      <w:pPr>
        <w:spacing w:line="360" w:lineRule="auto"/>
        <w:jc w:val="center"/>
        <w:rPr>
          <w:rFonts w:ascii="仿宋" w:hAnsi="仿宋" w:eastAsia="仿宋" w:cs="仿宋"/>
          <w:b/>
          <w:sz w:val="32"/>
          <w:szCs w:val="28"/>
        </w:rPr>
      </w:pPr>
      <w:r>
        <w:rPr>
          <w:rFonts w:hint="eastAsia" w:ascii="仿宋" w:hAnsi="仿宋" w:eastAsia="仿宋" w:cs="仿宋"/>
          <w:b/>
          <w:sz w:val="32"/>
          <w:szCs w:val="28"/>
        </w:rPr>
        <w:t>附录3  资格审查条件（信誉最低条件）</w:t>
      </w:r>
    </w:p>
    <w:tbl>
      <w:tblPr>
        <w:tblStyle w:val="13"/>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8"/>
                <w:szCs w:val="28"/>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vAlign w:val="center"/>
          </w:tcPr>
          <w:p>
            <w:pPr>
              <w:spacing w:line="360" w:lineRule="auto"/>
              <w:ind w:firstLine="560" w:firstLineChars="200"/>
              <w:jc w:val="left"/>
              <w:rPr>
                <w:rFonts w:ascii="仿宋" w:hAnsi="仿宋" w:eastAsia="仿宋" w:cs="仿宋"/>
                <w:sz w:val="24"/>
                <w:szCs w:val="24"/>
              </w:rPr>
            </w:pPr>
            <w:r>
              <w:rPr>
                <w:rFonts w:hint="eastAsia" w:ascii="仿宋" w:hAnsi="仿宋" w:eastAsia="仿宋" w:cs="仿宋"/>
                <w:sz w:val="28"/>
                <w:szCs w:val="32"/>
              </w:rPr>
              <w:t>投标人在近1年内(2021年12月1日至今)不曾在高速公路客车租赁合同执行中被驱逐或因投标人自身的原因而使高速公路客车租赁合同被解除。</w:t>
            </w:r>
          </w:p>
        </w:tc>
      </w:tr>
    </w:tbl>
    <w:p>
      <w:pPr>
        <w:tabs>
          <w:tab w:val="left" w:pos="3300"/>
        </w:tabs>
        <w:spacing w:line="360" w:lineRule="auto"/>
        <w:rPr>
          <w:rFonts w:ascii="仿宋" w:hAnsi="仿宋" w:eastAsia="仿宋" w:cs="仿宋"/>
          <w:b/>
          <w:sz w:val="32"/>
          <w:szCs w:val="28"/>
        </w:rPr>
      </w:pPr>
    </w:p>
    <w:p>
      <w:pPr>
        <w:spacing w:line="360" w:lineRule="auto"/>
        <w:rPr>
          <w:rFonts w:ascii="仿宋" w:hAnsi="仿宋" w:eastAsia="仿宋" w:cs="仿宋"/>
          <w:b/>
          <w:sz w:val="32"/>
          <w:szCs w:val="28"/>
        </w:rPr>
      </w:pPr>
    </w:p>
    <w:p>
      <w:pPr>
        <w:spacing w:line="400" w:lineRule="exact"/>
        <w:jc w:val="left"/>
        <w:rPr>
          <w:rFonts w:ascii="仿宋" w:hAnsi="仿宋" w:eastAsia="仿宋" w:cs="仿宋"/>
          <w:b/>
          <w:sz w:val="40"/>
          <w:szCs w:val="36"/>
        </w:rPr>
      </w:pPr>
      <w:r>
        <w:rPr>
          <w:rFonts w:hint="eastAsia" w:ascii="仿宋" w:hAnsi="仿宋" w:eastAsia="仿宋" w:cs="仿宋"/>
          <w:b/>
          <w:kern w:val="28"/>
          <w:sz w:val="24"/>
          <w:szCs w:val="24"/>
        </w:rPr>
        <w:br w:type="page"/>
      </w:r>
      <w:r>
        <w:rPr>
          <w:rFonts w:hint="eastAsia" w:ascii="仿宋" w:hAnsi="仿宋" w:eastAsia="仿宋" w:cs="仿宋"/>
          <w:b/>
          <w:sz w:val="32"/>
          <w:szCs w:val="28"/>
        </w:rPr>
        <w:t>评标办法前附表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pPr>
              <w:adjustRightInd w:val="0"/>
              <w:snapToGrid w:val="0"/>
              <w:spacing w:line="400" w:lineRule="exact"/>
              <w:jc w:val="center"/>
              <w:rPr>
                <w:rFonts w:ascii="仿宋" w:hAnsi="仿宋" w:eastAsia="仿宋" w:cs="仿宋"/>
                <w:b/>
                <w:sz w:val="28"/>
                <w:szCs w:val="28"/>
              </w:rPr>
            </w:pPr>
            <w:r>
              <w:rPr>
                <w:rFonts w:hint="eastAsia" w:ascii="仿宋" w:hAnsi="仿宋" w:eastAsia="仿宋" w:cs="仿宋"/>
                <w:b/>
                <w:sz w:val="28"/>
                <w:szCs w:val="28"/>
              </w:rPr>
              <w:t>条款号</w:t>
            </w:r>
          </w:p>
        </w:tc>
        <w:tc>
          <w:tcPr>
            <w:tcW w:w="7197" w:type="dxa"/>
            <w:vAlign w:val="center"/>
          </w:tcPr>
          <w:p>
            <w:pPr>
              <w:adjustRightInd w:val="0"/>
              <w:snapToGrid w:val="0"/>
              <w:spacing w:line="400" w:lineRule="exact"/>
              <w:jc w:val="center"/>
              <w:rPr>
                <w:rFonts w:ascii="仿宋" w:hAnsi="仿宋" w:eastAsia="仿宋" w:cs="仿宋"/>
                <w:b/>
                <w:sz w:val="28"/>
                <w:szCs w:val="28"/>
              </w:rPr>
            </w:pPr>
            <w:r>
              <w:rPr>
                <w:rFonts w:hint="eastAsia" w:ascii="仿宋" w:hAnsi="仿宋" w:eastAsia="仿宋" w:cs="仿宋"/>
                <w:b/>
                <w:sz w:val="28"/>
                <w:szCs w:val="28"/>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vAlign w:val="center"/>
          </w:tcPr>
          <w:p>
            <w:pPr>
              <w:spacing w:line="400" w:lineRule="exact"/>
              <w:jc w:val="center"/>
              <w:rPr>
                <w:rFonts w:ascii="仿宋" w:hAnsi="仿宋" w:eastAsia="仿宋" w:cs="仿宋"/>
                <w:b/>
                <w:sz w:val="28"/>
                <w:szCs w:val="28"/>
              </w:rPr>
            </w:pPr>
            <w:r>
              <w:rPr>
                <w:rFonts w:hint="eastAsia" w:ascii="仿宋" w:hAnsi="仿宋" w:eastAsia="仿宋" w:cs="仿宋"/>
                <w:b/>
                <w:sz w:val="28"/>
                <w:szCs w:val="28"/>
              </w:rPr>
              <w:t>1</w:t>
            </w:r>
          </w:p>
        </w:tc>
        <w:tc>
          <w:tcPr>
            <w:tcW w:w="1317" w:type="dxa"/>
            <w:vAlign w:val="center"/>
          </w:tcPr>
          <w:p>
            <w:pPr>
              <w:spacing w:line="400" w:lineRule="exact"/>
              <w:jc w:val="center"/>
              <w:rPr>
                <w:rFonts w:ascii="仿宋" w:hAnsi="仿宋" w:eastAsia="仿宋" w:cs="仿宋"/>
                <w:b/>
                <w:sz w:val="28"/>
                <w:szCs w:val="32"/>
              </w:rPr>
            </w:pPr>
            <w:r>
              <w:rPr>
                <w:rFonts w:hint="eastAsia" w:ascii="仿宋" w:hAnsi="仿宋" w:eastAsia="仿宋" w:cs="仿宋"/>
                <w:sz w:val="28"/>
                <w:szCs w:val="28"/>
              </w:rPr>
              <w:t>评标办法</w:t>
            </w:r>
          </w:p>
        </w:tc>
        <w:tc>
          <w:tcPr>
            <w:tcW w:w="7197" w:type="dxa"/>
            <w:vAlign w:val="center"/>
          </w:tcPr>
          <w:p>
            <w:pPr>
              <w:snapToGrid w:val="0"/>
              <w:spacing w:line="400" w:lineRule="exact"/>
              <w:jc w:val="left"/>
              <w:textAlignment w:val="baseline"/>
              <w:rPr>
                <w:rFonts w:ascii="仿宋" w:hAnsi="仿宋" w:eastAsia="仿宋" w:cs="仿宋"/>
                <w:sz w:val="28"/>
                <w:szCs w:val="32"/>
              </w:rPr>
            </w:pPr>
            <w:r>
              <w:rPr>
                <w:rFonts w:hint="eastAsia" w:ascii="仿宋" w:hAnsi="仿宋" w:eastAsia="仿宋" w:cs="仿宋"/>
                <w:sz w:val="28"/>
                <w:szCs w:val="32"/>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400" w:lineRule="exact"/>
              <w:rPr>
                <w:rFonts w:ascii="仿宋" w:hAnsi="仿宋" w:eastAsia="仿宋" w:cs="仿宋"/>
                <w:sz w:val="28"/>
                <w:szCs w:val="32"/>
              </w:rPr>
            </w:pPr>
            <w:r>
              <w:rPr>
                <w:rFonts w:hint="eastAsia" w:ascii="仿宋" w:hAnsi="仿宋" w:eastAsia="仿宋" w:cs="仿宋"/>
                <w:sz w:val="28"/>
                <w:szCs w:val="32"/>
              </w:rPr>
              <w:t>（1）评标价低的投标人优先；</w:t>
            </w:r>
          </w:p>
          <w:p>
            <w:pPr>
              <w:adjustRightInd w:val="0"/>
              <w:snapToGrid w:val="0"/>
              <w:spacing w:line="400" w:lineRule="exact"/>
              <w:rPr>
                <w:rFonts w:ascii="仿宋" w:hAnsi="仿宋" w:eastAsia="仿宋" w:cs="仿宋"/>
                <w:sz w:val="28"/>
                <w:szCs w:val="32"/>
              </w:rPr>
            </w:pPr>
            <w:r>
              <w:rPr>
                <w:rFonts w:hint="eastAsia" w:ascii="仿宋" w:hAnsi="仿宋" w:eastAsia="仿宋" w:cs="仿宋"/>
                <w:sz w:val="28"/>
                <w:szCs w:val="32"/>
              </w:rPr>
              <w:t>（2）技术得分较高的投标人优先；</w:t>
            </w:r>
          </w:p>
          <w:p>
            <w:pPr>
              <w:adjustRightInd w:val="0"/>
              <w:snapToGrid w:val="0"/>
              <w:spacing w:line="400" w:lineRule="exact"/>
              <w:rPr>
                <w:rFonts w:ascii="仿宋" w:hAnsi="仿宋" w:eastAsia="仿宋" w:cs="仿宋"/>
                <w:sz w:val="28"/>
                <w:szCs w:val="32"/>
              </w:rPr>
            </w:pPr>
            <w:r>
              <w:rPr>
                <w:rFonts w:hint="eastAsia" w:ascii="仿宋" w:hAnsi="仿宋" w:eastAsia="仿宋" w:cs="仿宋"/>
                <w:sz w:val="28"/>
                <w:szCs w:val="32"/>
              </w:rPr>
              <w:t>（3）投标人近3年内满足资格审查条件(业绩最低条件)要求的业绩累计金额高的优先。</w:t>
            </w:r>
          </w:p>
          <w:p>
            <w:pPr>
              <w:pStyle w:val="4"/>
              <w:spacing w:line="400" w:lineRule="exact"/>
              <w:rPr>
                <w:rFonts w:ascii="仿宋" w:hAnsi="仿宋" w:eastAsia="仿宋" w:cs="仿宋"/>
                <w:sz w:val="40"/>
                <w:szCs w:val="36"/>
              </w:rPr>
            </w:pPr>
            <w:r>
              <w:rPr>
                <w:rFonts w:hint="eastAsia" w:ascii="仿宋" w:hAnsi="仿宋" w:eastAsia="仿宋" w:cs="仿宋"/>
                <w:szCs w:val="28"/>
              </w:rPr>
              <w:t>通过第一信封商务、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2.1.1</w:t>
            </w:r>
          </w:p>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2.1.3</w:t>
            </w:r>
          </w:p>
        </w:tc>
        <w:tc>
          <w:tcPr>
            <w:tcW w:w="1317" w:type="dxa"/>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形式评审与响应性评审标准</w:t>
            </w:r>
          </w:p>
        </w:tc>
        <w:tc>
          <w:tcPr>
            <w:tcW w:w="7197" w:type="dxa"/>
          </w:tcPr>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第一个信封（商务及技术文件）评审标准:</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（1）投标文件按照招标文件规定的格式、内容填写，字迹清晰可辨：</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a.投标函按招标文件规定填报了项目名称、补遗书编号（如有）、服务期限信息；</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b.投标文件组成齐全完整，内容均按规定填写。</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（2）投标文件上法定代表人或其委托代理人的签字、投标人的单位章盖章齐全，符合招标文件规定。</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（3）投标人按照招标文件的规定提供了投标保证金：</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a.投标保证金金额符合招标文件规定的金额，且投标保证金有效期不少于投标有效期；</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b.若投标保证金采用电汇或转账形式提交，投标人应在递交投标文件截止时间之前，将投标保证金由投标人的基本账户转入招标人指定账户；</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c.若投标保证金采用银行保函形式提交，银行保函的格式、开具保函的银行均满足招标文件要求，且在递交投标文件截止时间之前向招标人提交了银行保函原件。</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 xml:space="preserve">（4）投标人法定代表人授权委托代理人签署投标文件的，须提交授权委托书，授权委托书的签字盖章符合招标文件规定，授权委托书只能授权给一名委托代理人。 </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（5）投标人法定代表人亲自签署投标文件的，提供了法定代表人身份证明，法定代表人身份证明的签字盖章符合招标文件规定。</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（6）投标人未以联合体形式投标。</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（7）投标人未对本项目提出分包计划。</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（8）同一投标人未提交两个以上不同的投标文件。</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（9）投标文件中未出现有关投标报价的内容。</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（10）投标文件载明的招标项目完成期限未超过招标文件规定的时限。</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（11）投标文件对招标文件的实质性要求和条件作出响应。</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（12）权利义务符合招标文件规定：</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a.投标人应接受招标文件规定的风险划分原则，未提出新的风险划分办法；</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b.投标人未增加发包人的责任范围，或减少投标人义务；</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c.投标人未提出不同的支付办法；</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d.投标人对合同纠纷、事故处理办法未提出异议；</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e.投标人在投标活动中无欺诈行为；</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f.投标人未对合同条款有重要保留。</w:t>
            </w:r>
          </w:p>
          <w:p>
            <w:pPr>
              <w:tabs>
                <w:tab w:val="left" w:pos="3060"/>
              </w:tabs>
              <w:spacing w:line="400" w:lineRule="exact"/>
              <w:rPr>
                <w:rFonts w:ascii="仿宋" w:hAnsi="仿宋" w:eastAsia="仿宋" w:cs="仿宋"/>
                <w:sz w:val="28"/>
                <w:szCs w:val="32"/>
              </w:rPr>
            </w:pPr>
            <w:r>
              <w:rPr>
                <w:rFonts w:hint="eastAsia" w:ascii="仿宋" w:hAnsi="仿宋" w:eastAsia="仿宋" w:cs="仿宋"/>
                <w:sz w:val="28"/>
                <w:szCs w:val="32"/>
              </w:rPr>
              <w:t>第二个信封（报价文件）评审标准：</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（1）投标文件按照招标文件规定的格式、内容填写，字迹清晰可辨：</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a.投标函按招标文件规定填报了项目名称、补遗书编号（如有）、投标价（包括大写金额和小写金额）；</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b．投标文件组成齐全完整，内容均按规定填写。</w:t>
            </w:r>
          </w:p>
          <w:p>
            <w:pPr>
              <w:snapToGrid w:val="0"/>
              <w:spacing w:line="400" w:lineRule="exact"/>
              <w:rPr>
                <w:rFonts w:ascii="仿宋" w:hAnsi="仿宋" w:eastAsia="仿宋" w:cs="仿宋"/>
                <w:sz w:val="28"/>
                <w:szCs w:val="32"/>
              </w:rPr>
            </w:pPr>
            <w:r>
              <w:rPr>
                <w:rFonts w:hint="eastAsia" w:ascii="仿宋" w:hAnsi="仿宋" w:eastAsia="仿宋" w:cs="仿宋"/>
                <w:sz w:val="28"/>
                <w:szCs w:val="32"/>
              </w:rPr>
              <w:t>（2）投标文件上法定代表人或其委托代理人的签字、投标人的单位章盖章齐全，符合招标文件规定。</w:t>
            </w:r>
          </w:p>
          <w:p>
            <w:pPr>
              <w:tabs>
                <w:tab w:val="left" w:pos="3060"/>
              </w:tabs>
              <w:snapToGrid w:val="0"/>
              <w:spacing w:line="400" w:lineRule="exact"/>
              <w:rPr>
                <w:rFonts w:ascii="仿宋" w:hAnsi="仿宋" w:eastAsia="仿宋" w:cs="仿宋"/>
                <w:sz w:val="28"/>
                <w:szCs w:val="32"/>
              </w:rPr>
            </w:pPr>
            <w:r>
              <w:rPr>
                <w:rFonts w:hint="eastAsia" w:ascii="仿宋" w:hAnsi="仿宋" w:eastAsia="仿宋" w:cs="仿宋"/>
                <w:sz w:val="28"/>
                <w:szCs w:val="32"/>
              </w:rPr>
              <w:t>（3）投标报价中的报价未超过招标文件设定的最高投标限价。</w:t>
            </w:r>
          </w:p>
          <w:p>
            <w:pPr>
              <w:tabs>
                <w:tab w:val="left" w:pos="3060"/>
              </w:tabs>
              <w:snapToGrid w:val="0"/>
              <w:spacing w:line="400" w:lineRule="exact"/>
              <w:rPr>
                <w:rFonts w:ascii="仿宋" w:hAnsi="仿宋" w:eastAsia="仿宋" w:cs="仿宋"/>
                <w:sz w:val="28"/>
                <w:szCs w:val="32"/>
              </w:rPr>
            </w:pPr>
            <w:r>
              <w:rPr>
                <w:rFonts w:hint="eastAsia" w:ascii="仿宋" w:hAnsi="仿宋" w:eastAsia="仿宋" w:cs="仿宋"/>
                <w:sz w:val="28"/>
                <w:szCs w:val="32"/>
              </w:rPr>
              <w:t>（4）投标报价中报价的大写金额能够确定具体数值。</w:t>
            </w:r>
          </w:p>
          <w:p>
            <w:pPr>
              <w:tabs>
                <w:tab w:val="left" w:pos="3060"/>
              </w:tabs>
              <w:snapToGrid w:val="0"/>
              <w:spacing w:line="400" w:lineRule="exact"/>
              <w:rPr>
                <w:rFonts w:ascii="仿宋" w:hAnsi="仿宋" w:eastAsia="仿宋" w:cs="仿宋"/>
                <w:sz w:val="28"/>
                <w:szCs w:val="32"/>
              </w:rPr>
            </w:pPr>
            <w:r>
              <w:rPr>
                <w:rFonts w:hint="eastAsia" w:ascii="仿宋" w:hAnsi="仿宋" w:eastAsia="仿宋" w:cs="仿宋"/>
                <w:sz w:val="28"/>
                <w:szCs w:val="32"/>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2.1.2</w:t>
            </w:r>
          </w:p>
        </w:tc>
        <w:tc>
          <w:tcPr>
            <w:tcW w:w="1317" w:type="dxa"/>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资格评审标准</w:t>
            </w:r>
          </w:p>
        </w:tc>
        <w:tc>
          <w:tcPr>
            <w:tcW w:w="7197" w:type="dxa"/>
          </w:tcPr>
          <w:p>
            <w:pPr>
              <w:tabs>
                <w:tab w:val="left" w:pos="3060"/>
              </w:tabs>
              <w:spacing w:line="400" w:lineRule="exact"/>
              <w:rPr>
                <w:rFonts w:ascii="仿宋" w:hAnsi="仿宋" w:eastAsia="仿宋" w:cs="仿宋"/>
                <w:sz w:val="28"/>
                <w:szCs w:val="28"/>
              </w:rPr>
            </w:pPr>
            <w:r>
              <w:rPr>
                <w:rFonts w:hint="eastAsia" w:ascii="仿宋" w:hAnsi="仿宋" w:eastAsia="仿宋" w:cs="仿宋"/>
                <w:sz w:val="28"/>
                <w:szCs w:val="28"/>
              </w:rPr>
              <w:t>（1）投标人具备有效的营业执照或事业单位法人证书、组织机构代码证（三证合一或五证合一的除外）、道路运输经营许可证和基本账户开户许可证（或基本存款账户信息）；</w:t>
            </w:r>
          </w:p>
          <w:p>
            <w:pPr>
              <w:pStyle w:val="4"/>
              <w:spacing w:line="400" w:lineRule="exact"/>
              <w:rPr>
                <w:rFonts w:ascii="仿宋" w:hAnsi="仿宋" w:eastAsia="仿宋" w:cs="仿宋"/>
                <w:szCs w:val="28"/>
              </w:rPr>
            </w:pPr>
            <w:r>
              <w:rPr>
                <w:rFonts w:hint="eastAsia" w:ascii="仿宋" w:hAnsi="仿宋" w:eastAsia="仿宋" w:cs="仿宋"/>
                <w:szCs w:val="28"/>
              </w:rPr>
              <w:t>（2）投标人的类似项目业绩符合招标文件规定；</w:t>
            </w:r>
          </w:p>
          <w:p>
            <w:pPr>
              <w:tabs>
                <w:tab w:val="left" w:pos="3060"/>
              </w:tabs>
              <w:spacing w:line="400" w:lineRule="exact"/>
              <w:rPr>
                <w:rFonts w:ascii="仿宋" w:hAnsi="仿宋" w:eastAsia="仿宋" w:cs="仿宋"/>
                <w:sz w:val="28"/>
                <w:szCs w:val="28"/>
              </w:rPr>
            </w:pPr>
            <w:r>
              <w:rPr>
                <w:rFonts w:hint="eastAsia" w:ascii="仿宋" w:hAnsi="仿宋" w:eastAsia="仿宋" w:cs="仿宋"/>
                <w:sz w:val="28"/>
                <w:szCs w:val="28"/>
              </w:rPr>
              <w:t>（3）投标人的信誉符合招标文件规定；</w:t>
            </w:r>
          </w:p>
          <w:p>
            <w:pPr>
              <w:tabs>
                <w:tab w:val="left" w:pos="3060"/>
              </w:tabs>
              <w:spacing w:line="400" w:lineRule="exact"/>
              <w:rPr>
                <w:rFonts w:ascii="仿宋" w:hAnsi="仿宋" w:eastAsia="仿宋" w:cs="仿宋"/>
                <w:sz w:val="28"/>
                <w:szCs w:val="28"/>
              </w:rPr>
            </w:pPr>
            <w:r>
              <w:rPr>
                <w:rFonts w:hint="eastAsia" w:ascii="仿宋" w:hAnsi="仿宋" w:eastAsia="仿宋" w:cs="仿宋"/>
                <w:sz w:val="28"/>
                <w:szCs w:val="28"/>
              </w:rPr>
              <w:t>（4）投标人不存在第二章“投标人须知”第1.4.3项和1.4.4项规定的任何一种情形。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pPr>
              <w:adjustRightInd w:val="0"/>
              <w:snapToGrid w:val="0"/>
              <w:spacing w:line="400" w:lineRule="exact"/>
              <w:jc w:val="center"/>
              <w:rPr>
                <w:rFonts w:ascii="仿宋" w:hAnsi="仿宋" w:eastAsia="仿宋" w:cs="仿宋"/>
                <w:b/>
                <w:sz w:val="28"/>
                <w:szCs w:val="28"/>
              </w:rPr>
            </w:pPr>
            <w:r>
              <w:rPr>
                <w:rFonts w:hint="eastAsia" w:ascii="仿宋" w:hAnsi="仿宋" w:eastAsia="仿宋" w:cs="仿宋"/>
                <w:b/>
                <w:sz w:val="28"/>
                <w:szCs w:val="28"/>
              </w:rPr>
              <w:t>条款号</w:t>
            </w:r>
          </w:p>
        </w:tc>
        <w:tc>
          <w:tcPr>
            <w:tcW w:w="1317" w:type="dxa"/>
            <w:vAlign w:val="center"/>
          </w:tcPr>
          <w:p>
            <w:pPr>
              <w:adjustRightInd w:val="0"/>
              <w:snapToGrid w:val="0"/>
              <w:spacing w:line="400" w:lineRule="exact"/>
              <w:jc w:val="center"/>
              <w:rPr>
                <w:rFonts w:ascii="仿宋" w:hAnsi="仿宋" w:eastAsia="仿宋" w:cs="仿宋"/>
                <w:b/>
                <w:sz w:val="28"/>
                <w:szCs w:val="28"/>
              </w:rPr>
            </w:pPr>
            <w:r>
              <w:rPr>
                <w:rFonts w:hint="eastAsia" w:ascii="仿宋" w:hAnsi="仿宋" w:eastAsia="仿宋" w:cs="仿宋"/>
                <w:b/>
                <w:sz w:val="28"/>
                <w:szCs w:val="28"/>
              </w:rPr>
              <w:t>条款内容</w:t>
            </w:r>
          </w:p>
        </w:tc>
        <w:tc>
          <w:tcPr>
            <w:tcW w:w="7197" w:type="dxa"/>
            <w:vAlign w:val="center"/>
          </w:tcPr>
          <w:p>
            <w:pPr>
              <w:adjustRightInd w:val="0"/>
              <w:snapToGrid w:val="0"/>
              <w:spacing w:line="400" w:lineRule="exact"/>
              <w:jc w:val="center"/>
              <w:rPr>
                <w:rFonts w:ascii="仿宋" w:hAnsi="仿宋" w:eastAsia="仿宋" w:cs="仿宋"/>
                <w:b/>
                <w:sz w:val="28"/>
                <w:szCs w:val="28"/>
              </w:rPr>
            </w:pPr>
            <w:r>
              <w:rPr>
                <w:rFonts w:hint="eastAsia" w:ascii="仿宋" w:hAnsi="仿宋" w:eastAsia="仿宋" w:cs="仿宋"/>
                <w:b/>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spacing w:line="400" w:lineRule="exact"/>
              <w:jc w:val="center"/>
              <w:rPr>
                <w:rFonts w:ascii="仿宋" w:hAnsi="仿宋" w:eastAsia="仿宋" w:cs="仿宋"/>
                <w:sz w:val="28"/>
                <w:szCs w:val="32"/>
              </w:rPr>
            </w:pPr>
            <w:r>
              <w:rPr>
                <w:rFonts w:hint="eastAsia" w:ascii="仿宋" w:hAnsi="仿宋" w:eastAsia="仿宋" w:cs="仿宋"/>
                <w:sz w:val="28"/>
                <w:szCs w:val="32"/>
              </w:rPr>
              <w:t>2.2.1</w:t>
            </w:r>
          </w:p>
        </w:tc>
        <w:tc>
          <w:tcPr>
            <w:tcW w:w="1317" w:type="dxa"/>
            <w:vAlign w:val="center"/>
          </w:tcPr>
          <w:p>
            <w:pPr>
              <w:adjustRightInd w:val="0"/>
              <w:snapToGrid w:val="0"/>
              <w:spacing w:line="400" w:lineRule="exact"/>
              <w:jc w:val="center"/>
              <w:rPr>
                <w:rFonts w:ascii="仿宋" w:hAnsi="仿宋" w:eastAsia="仿宋" w:cs="仿宋"/>
                <w:sz w:val="28"/>
                <w:szCs w:val="32"/>
              </w:rPr>
            </w:pPr>
            <w:r>
              <w:rPr>
                <w:rFonts w:hint="eastAsia" w:ascii="仿宋" w:hAnsi="仿宋" w:eastAsia="仿宋" w:cs="仿宋"/>
                <w:sz w:val="28"/>
                <w:szCs w:val="32"/>
              </w:rPr>
              <w:t>分值构成（总分100分）</w:t>
            </w:r>
          </w:p>
        </w:tc>
        <w:tc>
          <w:tcPr>
            <w:tcW w:w="7197" w:type="dxa"/>
            <w:vAlign w:val="center"/>
          </w:tcPr>
          <w:p>
            <w:pPr>
              <w:adjustRightInd w:val="0"/>
              <w:snapToGrid w:val="0"/>
              <w:spacing w:line="400" w:lineRule="exact"/>
              <w:rPr>
                <w:rFonts w:ascii="仿宋" w:hAnsi="仿宋" w:eastAsia="仿宋" w:cs="仿宋"/>
                <w:b/>
                <w:sz w:val="28"/>
                <w:szCs w:val="32"/>
              </w:rPr>
            </w:pPr>
            <w:r>
              <w:rPr>
                <w:rFonts w:hint="eastAsia" w:ascii="仿宋" w:hAnsi="仿宋" w:eastAsia="仿宋" w:cs="仿宋"/>
                <w:b/>
                <w:sz w:val="28"/>
                <w:szCs w:val="32"/>
              </w:rPr>
              <w:t>第一个信封（商务及技术文件）评分分值构成：</w:t>
            </w:r>
          </w:p>
          <w:p>
            <w:pPr>
              <w:adjustRightInd w:val="0"/>
              <w:snapToGrid w:val="0"/>
              <w:spacing w:line="400" w:lineRule="exact"/>
              <w:rPr>
                <w:rFonts w:ascii="仿宋" w:hAnsi="仿宋" w:eastAsia="仿宋" w:cs="仿宋"/>
                <w:sz w:val="28"/>
                <w:szCs w:val="32"/>
              </w:rPr>
            </w:pPr>
            <w:r>
              <w:rPr>
                <w:rFonts w:hint="eastAsia" w:ascii="仿宋" w:hAnsi="仿宋" w:eastAsia="仿宋" w:cs="仿宋"/>
                <w:sz w:val="28"/>
                <w:szCs w:val="32"/>
              </w:rPr>
              <w:t>同类业绩：       20分</w:t>
            </w:r>
          </w:p>
          <w:p>
            <w:pPr>
              <w:adjustRightInd w:val="0"/>
              <w:snapToGrid w:val="0"/>
              <w:spacing w:line="400" w:lineRule="exact"/>
              <w:rPr>
                <w:rFonts w:ascii="仿宋" w:hAnsi="仿宋" w:eastAsia="仿宋" w:cs="仿宋"/>
                <w:sz w:val="28"/>
                <w:szCs w:val="32"/>
              </w:rPr>
            </w:pPr>
            <w:r>
              <w:rPr>
                <w:rFonts w:hint="eastAsia" w:ascii="仿宋" w:hAnsi="仿宋" w:eastAsia="仿宋" w:cs="仿宋"/>
                <w:sz w:val="28"/>
                <w:szCs w:val="32"/>
              </w:rPr>
              <w:t>服务方案：       70分</w:t>
            </w:r>
          </w:p>
          <w:p>
            <w:pPr>
              <w:adjustRightInd w:val="0"/>
              <w:snapToGrid w:val="0"/>
              <w:spacing w:line="400" w:lineRule="exact"/>
              <w:rPr>
                <w:rFonts w:ascii="仿宋" w:hAnsi="仿宋" w:eastAsia="仿宋" w:cs="仿宋"/>
                <w:b/>
                <w:sz w:val="28"/>
                <w:szCs w:val="32"/>
              </w:rPr>
            </w:pPr>
            <w:r>
              <w:rPr>
                <w:rFonts w:hint="eastAsia" w:ascii="仿宋" w:hAnsi="仿宋" w:eastAsia="仿宋" w:cs="仿宋"/>
                <w:b/>
                <w:sz w:val="28"/>
                <w:szCs w:val="32"/>
              </w:rPr>
              <w:t>第二个信封（报价文件）评分分值构成：</w:t>
            </w:r>
          </w:p>
          <w:p>
            <w:pPr>
              <w:adjustRightInd w:val="0"/>
              <w:snapToGrid w:val="0"/>
              <w:spacing w:line="400" w:lineRule="exact"/>
              <w:rPr>
                <w:rFonts w:ascii="仿宋" w:hAnsi="仿宋" w:eastAsia="仿宋" w:cs="仿宋"/>
                <w:sz w:val="28"/>
                <w:szCs w:val="32"/>
              </w:rPr>
            </w:pPr>
            <w:r>
              <w:rPr>
                <w:rFonts w:hint="eastAsia" w:ascii="仿宋" w:hAnsi="仿宋" w:eastAsia="仿宋" w:cs="仿宋"/>
                <w:sz w:val="28"/>
                <w:szCs w:val="32"/>
              </w:rPr>
              <w:t>评 标 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2.2.2</w:t>
            </w:r>
          </w:p>
        </w:tc>
        <w:tc>
          <w:tcPr>
            <w:tcW w:w="1317" w:type="dxa"/>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评标基准价计算方法</w:t>
            </w:r>
          </w:p>
        </w:tc>
        <w:tc>
          <w:tcPr>
            <w:tcW w:w="7197" w:type="dxa"/>
            <w:vAlign w:val="center"/>
          </w:tcPr>
          <w:p>
            <w:pPr>
              <w:pStyle w:val="12"/>
              <w:spacing w:line="400" w:lineRule="exact"/>
              <w:ind w:firstLine="0" w:firstLineChars="0"/>
              <w:rPr>
                <w:rFonts w:ascii="仿宋" w:hAnsi="仿宋" w:eastAsia="仿宋" w:cs="仿宋"/>
                <w:sz w:val="28"/>
                <w:szCs w:val="24"/>
              </w:rPr>
            </w:pPr>
            <w:r>
              <w:rPr>
                <w:rFonts w:hint="eastAsia" w:ascii="仿宋" w:hAnsi="仿宋" w:eastAsia="仿宋" w:cs="仿宋"/>
                <w:sz w:val="28"/>
                <w:szCs w:val="24"/>
              </w:rPr>
              <w:t>评标基准价的计算：</w:t>
            </w:r>
          </w:p>
          <w:p>
            <w:pPr>
              <w:pStyle w:val="12"/>
              <w:spacing w:line="400" w:lineRule="exact"/>
              <w:ind w:firstLine="0" w:firstLineChars="0"/>
              <w:rPr>
                <w:rFonts w:ascii="仿宋" w:hAnsi="仿宋" w:eastAsia="仿宋" w:cs="仿宋"/>
                <w:sz w:val="28"/>
                <w:szCs w:val="24"/>
              </w:rPr>
            </w:pPr>
            <w:r>
              <w:rPr>
                <w:rFonts w:hint="eastAsia" w:ascii="仿宋" w:hAnsi="仿宋" w:eastAsia="仿宋" w:cs="仿宋"/>
                <w:sz w:val="28"/>
                <w:szCs w:val="24"/>
              </w:rPr>
              <w:t xml:space="preserve">  开标现场，招标人将当场计算并宣布评标基准价。</w:t>
            </w:r>
          </w:p>
          <w:p>
            <w:pPr>
              <w:pStyle w:val="12"/>
              <w:spacing w:line="400" w:lineRule="exact"/>
              <w:ind w:firstLine="0" w:firstLineChars="0"/>
              <w:rPr>
                <w:rFonts w:ascii="仿宋" w:hAnsi="仿宋" w:eastAsia="仿宋" w:cs="仿宋"/>
                <w:sz w:val="28"/>
                <w:szCs w:val="24"/>
              </w:rPr>
            </w:pPr>
            <w:r>
              <w:rPr>
                <w:rFonts w:hint="eastAsia" w:ascii="仿宋" w:hAnsi="仿宋" w:eastAsia="仿宋" w:cs="仿宋"/>
                <w:sz w:val="28"/>
                <w:szCs w:val="24"/>
              </w:rPr>
              <w:t>1、评标价的确定：</w:t>
            </w:r>
          </w:p>
          <w:p>
            <w:pPr>
              <w:pStyle w:val="12"/>
              <w:spacing w:line="400" w:lineRule="exact"/>
              <w:ind w:firstLine="0" w:firstLineChars="0"/>
              <w:rPr>
                <w:rFonts w:ascii="仿宋" w:hAnsi="仿宋" w:eastAsia="仿宋" w:cs="仿宋"/>
                <w:sz w:val="28"/>
                <w:szCs w:val="24"/>
              </w:rPr>
            </w:pPr>
            <w:r>
              <w:rPr>
                <w:rFonts w:hint="eastAsia" w:ascii="仿宋" w:hAnsi="仿宋" w:eastAsia="仿宋" w:cs="仿宋"/>
                <w:sz w:val="28"/>
                <w:szCs w:val="24"/>
              </w:rPr>
              <w:t>评标价=投标函文字报价</w:t>
            </w:r>
          </w:p>
          <w:p>
            <w:pPr>
              <w:pStyle w:val="12"/>
              <w:spacing w:line="400" w:lineRule="exact"/>
              <w:ind w:firstLine="0" w:firstLineChars="0"/>
              <w:rPr>
                <w:rFonts w:ascii="仿宋" w:hAnsi="仿宋" w:eastAsia="仿宋" w:cs="仿宋"/>
                <w:sz w:val="28"/>
                <w:szCs w:val="24"/>
              </w:rPr>
            </w:pPr>
            <w:r>
              <w:rPr>
                <w:rFonts w:hint="eastAsia" w:ascii="仿宋" w:hAnsi="仿宋" w:eastAsia="仿宋" w:cs="仿宋"/>
                <w:sz w:val="28"/>
                <w:szCs w:val="24"/>
              </w:rPr>
              <w:t>2、评标价平均值的计算：</w:t>
            </w:r>
          </w:p>
          <w:p>
            <w:pPr>
              <w:pStyle w:val="12"/>
              <w:spacing w:line="400" w:lineRule="exact"/>
              <w:ind w:firstLine="0" w:firstLineChars="0"/>
              <w:rPr>
                <w:rFonts w:ascii="仿宋" w:hAnsi="仿宋" w:eastAsia="仿宋" w:cs="仿宋"/>
                <w:sz w:val="28"/>
                <w:szCs w:val="24"/>
              </w:rPr>
            </w:pPr>
            <w:r>
              <w:rPr>
                <w:rFonts w:hint="eastAsia" w:ascii="仿宋" w:hAnsi="仿宋" w:eastAsia="仿宋" w:cs="仿宋"/>
                <w:sz w:val="28"/>
                <w:szCs w:val="24"/>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12"/>
              <w:spacing w:line="400" w:lineRule="exact"/>
              <w:ind w:firstLine="0" w:firstLineChars="0"/>
              <w:rPr>
                <w:rFonts w:ascii="仿宋" w:hAnsi="仿宋" w:eastAsia="仿宋" w:cs="仿宋"/>
                <w:sz w:val="28"/>
                <w:szCs w:val="24"/>
              </w:rPr>
            </w:pPr>
            <w:r>
              <w:rPr>
                <w:rFonts w:hint="eastAsia" w:ascii="仿宋" w:hAnsi="仿宋" w:eastAsia="仿宋" w:cs="仿宋"/>
                <w:sz w:val="28"/>
                <w:szCs w:val="24"/>
              </w:rPr>
              <w:t xml:space="preserve">3、评标基准价的确定： </w:t>
            </w:r>
          </w:p>
          <w:p>
            <w:pPr>
              <w:pStyle w:val="12"/>
              <w:spacing w:line="400" w:lineRule="exact"/>
              <w:ind w:firstLine="0" w:firstLineChars="0"/>
              <w:rPr>
                <w:rFonts w:ascii="仿宋" w:hAnsi="仿宋" w:eastAsia="仿宋" w:cs="仿宋"/>
                <w:sz w:val="28"/>
                <w:szCs w:val="24"/>
              </w:rPr>
            </w:pPr>
            <w:r>
              <w:rPr>
                <w:rFonts w:hint="eastAsia" w:ascii="仿宋" w:hAnsi="仿宋" w:eastAsia="仿宋" w:cs="仿宋"/>
                <w:sz w:val="28"/>
                <w:szCs w:val="24"/>
              </w:rPr>
              <w:t xml:space="preserve">评标价平均值直接作为评标基准价。 </w:t>
            </w:r>
          </w:p>
          <w:p>
            <w:pPr>
              <w:pStyle w:val="12"/>
              <w:spacing w:line="400" w:lineRule="exact"/>
              <w:ind w:firstLine="0" w:firstLineChars="0"/>
              <w:rPr>
                <w:rFonts w:ascii="仿宋" w:hAnsi="仿宋" w:eastAsia="仿宋" w:cs="仿宋"/>
                <w:sz w:val="28"/>
                <w:szCs w:val="24"/>
              </w:rPr>
            </w:pPr>
            <w:r>
              <w:rPr>
                <w:rFonts w:hint="eastAsia" w:ascii="仿宋" w:hAnsi="仿宋" w:eastAsia="仿宋" w:cs="仿宋"/>
                <w:sz w:val="28"/>
                <w:szCs w:val="24"/>
              </w:rPr>
              <w:t>评标基准价保留小数点后两位，小数点后第三位四舍五入。</w:t>
            </w:r>
          </w:p>
          <w:p>
            <w:pPr>
              <w:adjustRightInd w:val="0"/>
              <w:snapToGrid w:val="0"/>
              <w:spacing w:line="400" w:lineRule="exact"/>
              <w:rPr>
                <w:rFonts w:ascii="仿宋" w:hAnsi="仿宋" w:eastAsia="仿宋" w:cs="仿宋"/>
                <w:sz w:val="28"/>
                <w:szCs w:val="28"/>
              </w:rPr>
            </w:pPr>
            <w:r>
              <w:rPr>
                <w:rFonts w:hint="eastAsia" w:ascii="仿宋" w:hAnsi="仿宋" w:eastAsia="仿宋" w:cs="仿宋"/>
                <w:sz w:val="28"/>
                <w:szCs w:val="32"/>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2.2.3</w:t>
            </w:r>
          </w:p>
        </w:tc>
        <w:tc>
          <w:tcPr>
            <w:tcW w:w="1317" w:type="dxa"/>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评标价的偏差率计算公式</w:t>
            </w:r>
          </w:p>
        </w:tc>
        <w:tc>
          <w:tcPr>
            <w:tcW w:w="7197" w:type="dxa"/>
            <w:vAlign w:val="center"/>
          </w:tcPr>
          <w:p>
            <w:pPr>
              <w:adjustRightInd w:val="0"/>
              <w:snapToGrid w:val="0"/>
              <w:spacing w:line="400" w:lineRule="exact"/>
              <w:rPr>
                <w:rFonts w:ascii="仿宋" w:hAnsi="仿宋" w:eastAsia="仿宋" w:cs="仿宋"/>
                <w:sz w:val="28"/>
                <w:szCs w:val="28"/>
              </w:rPr>
            </w:pPr>
            <w:r>
              <w:rPr>
                <w:rFonts w:hint="eastAsia" w:ascii="仿宋" w:hAnsi="仿宋" w:eastAsia="仿宋" w:cs="仿宋"/>
                <w:sz w:val="28"/>
                <w:szCs w:val="32"/>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3.6.1</w:t>
            </w:r>
          </w:p>
        </w:tc>
        <w:tc>
          <w:tcPr>
            <w:tcW w:w="1317" w:type="dxa"/>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信息查询</w:t>
            </w:r>
          </w:p>
        </w:tc>
        <w:tc>
          <w:tcPr>
            <w:tcW w:w="7197" w:type="dxa"/>
            <w:vAlign w:val="center"/>
          </w:tcPr>
          <w:p>
            <w:pPr>
              <w:adjustRightInd w:val="0"/>
              <w:snapToGrid w:val="0"/>
              <w:spacing w:line="400" w:lineRule="exact"/>
              <w:rPr>
                <w:rFonts w:ascii="仿宋" w:hAnsi="仿宋" w:eastAsia="仿宋" w:cs="仿宋"/>
                <w:sz w:val="28"/>
                <w:szCs w:val="28"/>
              </w:rPr>
            </w:pPr>
            <w:r>
              <w:rPr>
                <w:rFonts w:hint="eastAsia" w:ascii="仿宋" w:hAnsi="仿宋" w:eastAsia="仿宋" w:cs="仿宋"/>
                <w:sz w:val="28"/>
                <w:szCs w:val="28"/>
              </w:rPr>
              <w:t>在评标过程中，评标委员会应对以下信息进行查询：</w:t>
            </w:r>
          </w:p>
          <w:p>
            <w:pPr>
              <w:snapToGrid w:val="0"/>
              <w:spacing w:line="400" w:lineRule="exact"/>
              <w:rPr>
                <w:rFonts w:ascii="仿宋" w:hAnsi="仿宋" w:eastAsia="仿宋" w:cs="仿宋"/>
                <w:sz w:val="28"/>
                <w:szCs w:val="28"/>
              </w:rPr>
            </w:pPr>
            <w:r>
              <w:rPr>
                <w:rFonts w:hint="eastAsia" w:ascii="仿宋" w:hAnsi="仿宋" w:eastAsia="仿宋" w:cs="仿宋"/>
                <w:sz w:val="28"/>
                <w:szCs w:val="28"/>
              </w:rPr>
              <w:t>评标委员会评标时在“国家企业信用信息公示系统”和“信用中国”网站对投标人的信用情况进行查询，若投标人存在“国家企业信用信息公示系统” 被列入严重违法失信企业名单（不含分公司）或在“信用中国”网站“被列入失信被执行人名单、异常经营名录、税收违法黑名单、政府采购严重违法失信名单”（均不含分公司）情形的，评标委员会应否决其投标。</w:t>
            </w:r>
          </w:p>
          <w:p>
            <w:pPr>
              <w:snapToGrid w:val="0"/>
              <w:spacing w:line="400" w:lineRule="exact"/>
              <w:rPr>
                <w:rFonts w:ascii="仿宋" w:hAnsi="仿宋" w:eastAsia="仿宋" w:cs="仿宋"/>
                <w:sz w:val="28"/>
                <w:szCs w:val="32"/>
              </w:rPr>
            </w:pPr>
            <w:r>
              <w:rPr>
                <w:rFonts w:hint="eastAsia" w:ascii="仿宋" w:hAnsi="仿宋" w:eastAsia="仿宋" w:cs="仿宋"/>
                <w:sz w:val="28"/>
                <w:szCs w:val="28"/>
              </w:rPr>
              <w:t>若投标人未提供相关网页截图或所附截图与核查结果不一致使得投标人的资格条件不符合招标文件规定的，评标委员会应否决其投标。</w:t>
            </w:r>
          </w:p>
        </w:tc>
      </w:tr>
    </w:tbl>
    <w:p>
      <w:pPr>
        <w:snapToGrid w:val="0"/>
        <w:spacing w:line="400" w:lineRule="exact"/>
        <w:jc w:val="left"/>
        <w:rPr>
          <w:rFonts w:ascii="仿宋" w:hAnsi="仿宋" w:eastAsia="仿宋" w:cs="仿宋"/>
          <w:sz w:val="32"/>
          <w:szCs w:val="36"/>
        </w:rPr>
      </w:pPr>
    </w:p>
    <w:p>
      <w:pPr>
        <w:snapToGrid w:val="0"/>
        <w:spacing w:line="360" w:lineRule="auto"/>
        <w:jc w:val="left"/>
        <w:rPr>
          <w:rFonts w:ascii="仿宋" w:hAnsi="仿宋" w:eastAsia="仿宋" w:cs="仿宋"/>
        </w:rPr>
      </w:pPr>
      <w:r>
        <w:rPr>
          <w:rFonts w:hint="eastAsia" w:ascii="仿宋" w:hAnsi="仿宋" w:eastAsia="仿宋" w:cs="仿宋"/>
        </w:rPr>
        <w:br w:type="page"/>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735"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2154" w:type="dxa"/>
            <w:gridSpan w:val="2"/>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评审项目</w:t>
            </w:r>
          </w:p>
        </w:tc>
        <w:tc>
          <w:tcPr>
            <w:tcW w:w="843"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标准分</w:t>
            </w:r>
          </w:p>
        </w:tc>
        <w:tc>
          <w:tcPr>
            <w:tcW w:w="5978"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评     分     标     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735" w:type="dxa"/>
            <w:vAlign w:val="center"/>
          </w:tcPr>
          <w:p>
            <w:pPr>
              <w:snapToGrid w:val="0"/>
              <w:spacing w:line="400" w:lineRule="exact"/>
              <w:jc w:val="center"/>
              <w:rPr>
                <w:rFonts w:ascii="仿宋" w:hAnsi="仿宋" w:eastAsia="仿宋" w:cs="仿宋"/>
                <w:bCs/>
                <w:w w:val="90"/>
                <w:sz w:val="28"/>
                <w:szCs w:val="28"/>
              </w:rPr>
            </w:pPr>
            <w:r>
              <w:rPr>
                <w:rFonts w:hint="eastAsia" w:ascii="仿宋" w:hAnsi="仿宋" w:eastAsia="仿宋" w:cs="仿宋"/>
                <w:bCs/>
                <w:w w:val="90"/>
                <w:sz w:val="28"/>
                <w:szCs w:val="28"/>
              </w:rPr>
              <w:t>1</w:t>
            </w:r>
          </w:p>
        </w:tc>
        <w:tc>
          <w:tcPr>
            <w:tcW w:w="2154" w:type="dxa"/>
            <w:gridSpan w:val="2"/>
            <w:vAlign w:val="center"/>
          </w:tcPr>
          <w:p>
            <w:pPr>
              <w:snapToGrid w:val="0"/>
              <w:spacing w:line="400" w:lineRule="exact"/>
              <w:jc w:val="center"/>
              <w:rPr>
                <w:rFonts w:ascii="仿宋" w:hAnsi="仿宋" w:eastAsia="仿宋" w:cs="仿宋"/>
                <w:bCs/>
                <w:sz w:val="28"/>
                <w:szCs w:val="28"/>
              </w:rPr>
            </w:pPr>
            <w:r>
              <w:rPr>
                <w:rFonts w:hint="eastAsia" w:ascii="仿宋" w:hAnsi="仿宋" w:eastAsia="仿宋" w:cs="仿宋"/>
                <w:bCs/>
                <w:sz w:val="28"/>
                <w:szCs w:val="28"/>
              </w:rPr>
              <w:t>同类业绩</w:t>
            </w:r>
          </w:p>
        </w:tc>
        <w:tc>
          <w:tcPr>
            <w:tcW w:w="843" w:type="dxa"/>
            <w:vAlign w:val="center"/>
          </w:tcPr>
          <w:p>
            <w:pPr>
              <w:snapToGrid w:val="0"/>
              <w:spacing w:line="400" w:lineRule="exact"/>
              <w:jc w:val="center"/>
              <w:rPr>
                <w:rFonts w:ascii="仿宋" w:hAnsi="仿宋" w:eastAsia="仿宋" w:cs="仿宋"/>
                <w:bCs/>
                <w:sz w:val="28"/>
                <w:szCs w:val="28"/>
              </w:rPr>
            </w:pPr>
            <w:r>
              <w:rPr>
                <w:rFonts w:hint="eastAsia" w:ascii="仿宋" w:hAnsi="仿宋" w:eastAsia="仿宋" w:cs="仿宋"/>
                <w:bCs/>
                <w:sz w:val="28"/>
                <w:szCs w:val="28"/>
              </w:rPr>
              <w:t>20分</w:t>
            </w:r>
          </w:p>
        </w:tc>
        <w:tc>
          <w:tcPr>
            <w:tcW w:w="5978" w:type="dxa"/>
            <w:vAlign w:val="center"/>
          </w:tcPr>
          <w:p>
            <w:pPr>
              <w:snapToGrid w:val="0"/>
              <w:spacing w:line="400" w:lineRule="exact"/>
              <w:rPr>
                <w:rFonts w:ascii="仿宋" w:hAnsi="仿宋" w:eastAsia="仿宋" w:cs="仿宋"/>
                <w:sz w:val="28"/>
                <w:szCs w:val="28"/>
              </w:rPr>
            </w:pPr>
            <w:r>
              <w:rPr>
                <w:rFonts w:hint="eastAsia" w:ascii="仿宋" w:hAnsi="仿宋" w:eastAsia="仿宋" w:cs="仿宋"/>
                <w:sz w:val="28"/>
                <w:szCs w:val="28"/>
              </w:rPr>
              <w:t>满足资格审查条件(业绩最低要求)得12分；</w:t>
            </w:r>
          </w:p>
          <w:p>
            <w:pPr>
              <w:snapToGrid w:val="0"/>
              <w:spacing w:line="400" w:lineRule="exact"/>
              <w:rPr>
                <w:rFonts w:ascii="仿宋" w:hAnsi="仿宋" w:eastAsia="仿宋" w:cs="仿宋"/>
                <w:bCs/>
                <w:sz w:val="28"/>
                <w:szCs w:val="28"/>
              </w:rPr>
            </w:pPr>
            <w:r>
              <w:rPr>
                <w:rFonts w:hint="eastAsia" w:ascii="仿宋" w:hAnsi="仿宋" w:eastAsia="仿宋" w:cs="仿宋"/>
                <w:sz w:val="28"/>
                <w:szCs w:val="28"/>
              </w:rPr>
              <w:t>近3年内（2019年12月1日至今，以合同签订时间为准）</w:t>
            </w:r>
            <w:r>
              <w:rPr>
                <w:rFonts w:hint="eastAsia" w:ascii="仿宋" w:hAnsi="仿宋" w:eastAsia="仿宋" w:cs="仿宋"/>
                <w:bCs/>
                <w:sz w:val="28"/>
                <w:szCs w:val="28"/>
              </w:rPr>
              <w:t>每增加一项客车租赁项目业绩加4分，最高加8分。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735" w:type="dxa"/>
            <w:vMerge w:val="restart"/>
            <w:tcBorders>
              <w:right w:val="single" w:color="auto" w:sz="2" w:space="0"/>
            </w:tcBorders>
            <w:vAlign w:val="center"/>
          </w:tcPr>
          <w:p>
            <w:pPr>
              <w:snapToGrid w:val="0"/>
              <w:spacing w:line="400" w:lineRule="exact"/>
              <w:jc w:val="center"/>
              <w:rPr>
                <w:rFonts w:ascii="仿宋" w:hAnsi="仿宋" w:eastAsia="仿宋" w:cs="仿宋"/>
                <w:bCs/>
                <w:w w:val="90"/>
                <w:sz w:val="28"/>
                <w:szCs w:val="28"/>
              </w:rPr>
            </w:pPr>
            <w:r>
              <w:rPr>
                <w:rFonts w:hint="eastAsia" w:ascii="仿宋" w:hAnsi="仿宋" w:eastAsia="仿宋" w:cs="仿宋"/>
                <w:bCs/>
                <w:w w:val="90"/>
                <w:sz w:val="28"/>
                <w:szCs w:val="28"/>
              </w:rPr>
              <w:t>2</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line="400" w:lineRule="exact"/>
              <w:jc w:val="center"/>
              <w:rPr>
                <w:rFonts w:ascii="仿宋" w:hAnsi="仿宋" w:eastAsia="仿宋" w:cs="仿宋"/>
                <w:bCs/>
                <w:sz w:val="28"/>
                <w:szCs w:val="28"/>
              </w:rPr>
            </w:pPr>
            <w:r>
              <w:rPr>
                <w:rFonts w:hint="eastAsia" w:ascii="仿宋" w:hAnsi="仿宋" w:eastAsia="仿宋" w:cs="仿宋"/>
                <w:bCs/>
                <w:sz w:val="28"/>
                <w:szCs w:val="28"/>
              </w:rPr>
              <w:t>服务方案</w:t>
            </w:r>
          </w:p>
          <w:p>
            <w:pPr>
              <w:snapToGrid w:val="0"/>
              <w:spacing w:before="156" w:beforeLines="50" w:after="156" w:afterLines="50" w:line="400" w:lineRule="exact"/>
              <w:jc w:val="center"/>
              <w:rPr>
                <w:rFonts w:ascii="仿宋" w:hAnsi="仿宋" w:eastAsia="仿宋" w:cs="仿宋"/>
                <w:bCs/>
                <w:sz w:val="28"/>
                <w:szCs w:val="28"/>
              </w:rPr>
            </w:pPr>
            <w:r>
              <w:rPr>
                <w:rFonts w:hint="eastAsia" w:ascii="仿宋" w:hAnsi="仿宋" w:eastAsia="仿宋" w:cs="仿宋"/>
                <w:bCs/>
                <w:sz w:val="28"/>
                <w:szCs w:val="28"/>
              </w:rPr>
              <w:t>（70分）</w:t>
            </w:r>
          </w:p>
        </w:tc>
        <w:tc>
          <w:tcPr>
            <w:tcW w:w="1124" w:type="dxa"/>
            <w:tcBorders>
              <w:left w:val="single" w:color="auto" w:sz="2" w:space="0"/>
            </w:tcBorders>
            <w:vAlign w:val="center"/>
          </w:tcPr>
          <w:p>
            <w:pPr>
              <w:snapToGrid w:val="0"/>
              <w:spacing w:before="156" w:beforeLines="50" w:after="156" w:afterLines="50" w:line="400" w:lineRule="exact"/>
              <w:jc w:val="center"/>
              <w:rPr>
                <w:rFonts w:ascii="仿宋" w:hAnsi="仿宋" w:eastAsia="仿宋" w:cs="仿宋"/>
                <w:bCs/>
                <w:sz w:val="28"/>
                <w:szCs w:val="28"/>
              </w:rPr>
            </w:pPr>
            <w:r>
              <w:rPr>
                <w:rFonts w:hint="eastAsia" w:ascii="仿宋" w:hAnsi="仿宋" w:eastAsia="仿宋" w:cs="仿宋"/>
                <w:bCs/>
                <w:sz w:val="28"/>
                <w:szCs w:val="28"/>
              </w:rPr>
              <w:t>组织机构及车辆配备</w:t>
            </w:r>
          </w:p>
        </w:tc>
        <w:tc>
          <w:tcPr>
            <w:tcW w:w="843" w:type="dxa"/>
            <w:vAlign w:val="center"/>
          </w:tcPr>
          <w:p>
            <w:pPr>
              <w:snapToGrid w:val="0"/>
              <w:spacing w:line="400" w:lineRule="exact"/>
              <w:jc w:val="center"/>
              <w:rPr>
                <w:rFonts w:ascii="仿宋" w:hAnsi="仿宋" w:eastAsia="仿宋" w:cs="仿宋"/>
                <w:bCs/>
                <w:sz w:val="28"/>
                <w:szCs w:val="28"/>
              </w:rPr>
            </w:pPr>
            <w:r>
              <w:rPr>
                <w:rFonts w:hint="eastAsia" w:ascii="仿宋" w:hAnsi="仿宋" w:eastAsia="仿宋" w:cs="仿宋"/>
                <w:bCs/>
                <w:sz w:val="28"/>
                <w:szCs w:val="28"/>
              </w:rPr>
              <w:t>20分</w:t>
            </w:r>
          </w:p>
        </w:tc>
        <w:tc>
          <w:tcPr>
            <w:tcW w:w="5978" w:type="dxa"/>
            <w:vAlign w:val="center"/>
          </w:tcPr>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根据投标人项目实施团队的组织机构和车辆配备优劣进行比较打分：</w:t>
            </w:r>
          </w:p>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 xml:space="preserve">第一档，组织管理机构完善、合理，车况良好、车辆功能配置先进，车辆购置年限近符合项目特点的，得18.01-20分； </w:t>
            </w:r>
          </w:p>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 xml:space="preserve">第二档，组织管理机构健全、合理，车况良好、车辆功能配置较先进，车辆购置年限较近，符合项目需求的，得15.01-18分； </w:t>
            </w:r>
          </w:p>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第三档，组织管理机构和车辆配备基本合理，专业性和相关经验有欠缺或低于其他档次投标人，车况一般、车辆功能配置较差，车辆购置年限较长，得12-15分。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735" w:type="dxa"/>
            <w:vMerge w:val="continue"/>
            <w:tcBorders>
              <w:right w:val="single" w:color="auto" w:sz="2" w:space="0"/>
            </w:tcBorders>
            <w:vAlign w:val="center"/>
          </w:tcPr>
          <w:p>
            <w:pPr>
              <w:snapToGrid w:val="0"/>
              <w:spacing w:line="400" w:lineRule="exact"/>
              <w:jc w:val="center"/>
              <w:rPr>
                <w:rFonts w:ascii="仿宋" w:hAnsi="仿宋" w:eastAsia="仿宋" w:cs="仿宋"/>
                <w:bCs/>
                <w:w w:val="90"/>
                <w:sz w:val="28"/>
                <w:szCs w:val="28"/>
              </w:rPr>
            </w:pPr>
          </w:p>
        </w:tc>
        <w:tc>
          <w:tcPr>
            <w:tcW w:w="1030" w:type="dxa"/>
            <w:vMerge w:val="continue"/>
            <w:tcBorders>
              <w:left w:val="single" w:color="auto" w:sz="2" w:space="0"/>
              <w:right w:val="single" w:color="auto" w:sz="2" w:space="0"/>
            </w:tcBorders>
            <w:vAlign w:val="center"/>
          </w:tcPr>
          <w:p>
            <w:pPr>
              <w:snapToGrid w:val="0"/>
              <w:spacing w:line="400" w:lineRule="exact"/>
              <w:jc w:val="center"/>
              <w:rPr>
                <w:rFonts w:ascii="仿宋" w:hAnsi="仿宋" w:eastAsia="仿宋" w:cs="仿宋"/>
                <w:bCs/>
                <w:sz w:val="28"/>
                <w:szCs w:val="28"/>
              </w:rPr>
            </w:pPr>
          </w:p>
        </w:tc>
        <w:tc>
          <w:tcPr>
            <w:tcW w:w="1124" w:type="dxa"/>
            <w:tcBorders>
              <w:left w:val="single" w:color="auto" w:sz="2" w:space="0"/>
            </w:tcBorders>
            <w:vAlign w:val="center"/>
          </w:tcPr>
          <w:p>
            <w:pPr>
              <w:snapToGrid w:val="0"/>
              <w:spacing w:line="400" w:lineRule="exact"/>
              <w:jc w:val="center"/>
              <w:rPr>
                <w:rFonts w:ascii="仿宋" w:hAnsi="仿宋" w:eastAsia="仿宋" w:cs="仿宋"/>
                <w:bCs/>
                <w:sz w:val="28"/>
                <w:szCs w:val="28"/>
              </w:rPr>
            </w:pPr>
            <w:r>
              <w:rPr>
                <w:rFonts w:hint="eastAsia" w:ascii="仿宋" w:hAnsi="仿宋" w:eastAsia="仿宋" w:cs="仿宋"/>
                <w:bCs/>
                <w:sz w:val="28"/>
                <w:szCs w:val="28"/>
              </w:rPr>
              <w:t>实施计划及服务方案</w:t>
            </w:r>
          </w:p>
        </w:tc>
        <w:tc>
          <w:tcPr>
            <w:tcW w:w="843" w:type="dxa"/>
            <w:vAlign w:val="center"/>
          </w:tcPr>
          <w:p>
            <w:pPr>
              <w:snapToGrid w:val="0"/>
              <w:spacing w:line="400" w:lineRule="exact"/>
              <w:jc w:val="center"/>
              <w:rPr>
                <w:rFonts w:ascii="仿宋" w:hAnsi="仿宋" w:eastAsia="仿宋" w:cs="仿宋"/>
                <w:bCs/>
                <w:sz w:val="28"/>
                <w:szCs w:val="28"/>
              </w:rPr>
            </w:pPr>
            <w:r>
              <w:rPr>
                <w:rFonts w:hint="eastAsia" w:ascii="仿宋" w:hAnsi="仿宋" w:eastAsia="仿宋" w:cs="仿宋"/>
                <w:bCs/>
                <w:sz w:val="28"/>
                <w:szCs w:val="28"/>
              </w:rPr>
              <w:t>20分</w:t>
            </w:r>
          </w:p>
        </w:tc>
        <w:tc>
          <w:tcPr>
            <w:tcW w:w="5978" w:type="dxa"/>
            <w:vAlign w:val="center"/>
          </w:tcPr>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第一档，实施计划科学合理，总体方案完整、内容齐全，有针对性，得18.01-20分；</w:t>
            </w:r>
          </w:p>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第二档，实施计划较科学合理，总体方案较完整，得15.01-18分；</w:t>
            </w:r>
          </w:p>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第三档，实施计划欠合理，总体方案过于简单，得12-15分。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735" w:type="dxa"/>
            <w:vMerge w:val="continue"/>
            <w:tcBorders>
              <w:right w:val="single" w:color="auto" w:sz="2" w:space="0"/>
            </w:tcBorders>
            <w:vAlign w:val="center"/>
          </w:tcPr>
          <w:p>
            <w:pPr>
              <w:snapToGrid w:val="0"/>
              <w:spacing w:line="400" w:lineRule="exact"/>
              <w:jc w:val="center"/>
              <w:rPr>
                <w:rFonts w:ascii="仿宋" w:hAnsi="仿宋" w:eastAsia="仿宋" w:cs="仿宋"/>
                <w:bCs/>
                <w:w w:val="90"/>
                <w:sz w:val="28"/>
                <w:szCs w:val="28"/>
              </w:rPr>
            </w:pPr>
          </w:p>
        </w:tc>
        <w:tc>
          <w:tcPr>
            <w:tcW w:w="1030" w:type="dxa"/>
            <w:vMerge w:val="continue"/>
            <w:tcBorders>
              <w:left w:val="single" w:color="auto" w:sz="2" w:space="0"/>
              <w:right w:val="single" w:color="auto" w:sz="2" w:space="0"/>
            </w:tcBorders>
            <w:vAlign w:val="center"/>
          </w:tcPr>
          <w:p>
            <w:pPr>
              <w:snapToGrid w:val="0"/>
              <w:spacing w:line="400" w:lineRule="exact"/>
              <w:jc w:val="center"/>
              <w:rPr>
                <w:rFonts w:ascii="仿宋" w:hAnsi="仿宋" w:eastAsia="仿宋" w:cs="仿宋"/>
                <w:bCs/>
                <w:sz w:val="28"/>
                <w:szCs w:val="28"/>
              </w:rPr>
            </w:pPr>
          </w:p>
        </w:tc>
        <w:tc>
          <w:tcPr>
            <w:tcW w:w="1124" w:type="dxa"/>
            <w:tcBorders>
              <w:left w:val="single" w:color="auto" w:sz="2" w:space="0"/>
            </w:tcBorders>
            <w:vAlign w:val="center"/>
          </w:tcPr>
          <w:p>
            <w:pPr>
              <w:snapToGrid w:val="0"/>
              <w:spacing w:line="400" w:lineRule="exact"/>
              <w:jc w:val="center"/>
              <w:rPr>
                <w:rFonts w:ascii="仿宋" w:hAnsi="仿宋" w:eastAsia="仿宋" w:cs="仿宋"/>
                <w:bCs/>
                <w:sz w:val="28"/>
                <w:szCs w:val="28"/>
              </w:rPr>
            </w:pPr>
            <w:r>
              <w:rPr>
                <w:rFonts w:hint="eastAsia" w:ascii="仿宋" w:hAnsi="仿宋" w:eastAsia="仿宋" w:cs="仿宋"/>
                <w:bCs/>
                <w:sz w:val="28"/>
                <w:szCs w:val="28"/>
              </w:rPr>
              <w:t>日常管理标准及措施</w:t>
            </w:r>
          </w:p>
        </w:tc>
        <w:tc>
          <w:tcPr>
            <w:tcW w:w="843" w:type="dxa"/>
            <w:vAlign w:val="center"/>
          </w:tcPr>
          <w:p>
            <w:pPr>
              <w:snapToGrid w:val="0"/>
              <w:spacing w:line="400" w:lineRule="exact"/>
              <w:jc w:val="center"/>
              <w:rPr>
                <w:rFonts w:ascii="仿宋" w:hAnsi="仿宋" w:eastAsia="仿宋" w:cs="仿宋"/>
                <w:bCs/>
                <w:sz w:val="28"/>
                <w:szCs w:val="28"/>
              </w:rPr>
            </w:pPr>
            <w:r>
              <w:rPr>
                <w:rFonts w:hint="eastAsia" w:ascii="仿宋" w:hAnsi="仿宋" w:eastAsia="仿宋" w:cs="仿宋"/>
                <w:bCs/>
                <w:sz w:val="28"/>
                <w:szCs w:val="28"/>
              </w:rPr>
              <w:t>10分</w:t>
            </w:r>
          </w:p>
        </w:tc>
        <w:tc>
          <w:tcPr>
            <w:tcW w:w="5978" w:type="dxa"/>
            <w:vAlign w:val="center"/>
          </w:tcPr>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第一档，科学合理，内容详细，得9.01-10分；</w:t>
            </w:r>
          </w:p>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第二档，较科学合理，内容较详细，得7.51-9分；</w:t>
            </w:r>
          </w:p>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第三档，欠合理，内容过于简单，得6-7.5分。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735" w:type="dxa"/>
            <w:vMerge w:val="continue"/>
            <w:tcBorders>
              <w:right w:val="single" w:color="auto" w:sz="2" w:space="0"/>
            </w:tcBorders>
            <w:vAlign w:val="center"/>
          </w:tcPr>
          <w:p>
            <w:pPr>
              <w:snapToGrid w:val="0"/>
              <w:spacing w:line="400" w:lineRule="exact"/>
              <w:jc w:val="center"/>
              <w:rPr>
                <w:rFonts w:ascii="仿宋" w:hAnsi="仿宋" w:eastAsia="仿宋" w:cs="仿宋"/>
                <w:bCs/>
                <w:w w:val="90"/>
                <w:sz w:val="28"/>
                <w:szCs w:val="28"/>
              </w:rPr>
            </w:pPr>
          </w:p>
        </w:tc>
        <w:tc>
          <w:tcPr>
            <w:tcW w:w="1030" w:type="dxa"/>
            <w:vMerge w:val="continue"/>
            <w:tcBorders>
              <w:left w:val="single" w:color="auto" w:sz="2" w:space="0"/>
              <w:right w:val="single" w:color="auto" w:sz="2" w:space="0"/>
            </w:tcBorders>
            <w:vAlign w:val="center"/>
          </w:tcPr>
          <w:p>
            <w:pPr>
              <w:snapToGrid w:val="0"/>
              <w:spacing w:line="400" w:lineRule="exact"/>
              <w:jc w:val="center"/>
              <w:rPr>
                <w:rFonts w:ascii="仿宋" w:hAnsi="仿宋" w:eastAsia="仿宋" w:cs="仿宋"/>
                <w:bCs/>
                <w:sz w:val="28"/>
                <w:szCs w:val="28"/>
              </w:rPr>
            </w:pPr>
          </w:p>
        </w:tc>
        <w:tc>
          <w:tcPr>
            <w:tcW w:w="1124" w:type="dxa"/>
            <w:tcBorders>
              <w:left w:val="single" w:color="auto" w:sz="2" w:space="0"/>
            </w:tcBorders>
            <w:vAlign w:val="center"/>
          </w:tcPr>
          <w:p>
            <w:pPr>
              <w:snapToGrid w:val="0"/>
              <w:spacing w:line="400" w:lineRule="exact"/>
              <w:jc w:val="center"/>
              <w:rPr>
                <w:rFonts w:ascii="仿宋" w:hAnsi="仿宋" w:eastAsia="仿宋" w:cs="仿宋"/>
                <w:bCs/>
                <w:sz w:val="28"/>
                <w:szCs w:val="28"/>
              </w:rPr>
            </w:pPr>
            <w:r>
              <w:rPr>
                <w:rFonts w:hint="eastAsia" w:ascii="仿宋" w:hAnsi="仿宋" w:eastAsia="仿宋" w:cs="仿宋"/>
                <w:bCs/>
                <w:sz w:val="28"/>
                <w:szCs w:val="28"/>
              </w:rPr>
              <w:t>内部规章制度及人员考核培训方案</w:t>
            </w:r>
          </w:p>
        </w:tc>
        <w:tc>
          <w:tcPr>
            <w:tcW w:w="843" w:type="dxa"/>
            <w:vAlign w:val="center"/>
          </w:tcPr>
          <w:p>
            <w:pPr>
              <w:snapToGrid w:val="0"/>
              <w:spacing w:line="400" w:lineRule="exact"/>
              <w:jc w:val="center"/>
              <w:rPr>
                <w:rFonts w:ascii="仿宋" w:hAnsi="仿宋" w:eastAsia="仿宋" w:cs="仿宋"/>
                <w:bCs/>
                <w:sz w:val="28"/>
                <w:szCs w:val="28"/>
              </w:rPr>
            </w:pPr>
            <w:r>
              <w:rPr>
                <w:rFonts w:hint="eastAsia" w:ascii="仿宋" w:hAnsi="仿宋" w:eastAsia="仿宋" w:cs="仿宋"/>
                <w:bCs/>
                <w:sz w:val="28"/>
                <w:szCs w:val="28"/>
              </w:rPr>
              <w:t>10分</w:t>
            </w:r>
          </w:p>
        </w:tc>
        <w:tc>
          <w:tcPr>
            <w:tcW w:w="5978" w:type="dxa"/>
            <w:vAlign w:val="center"/>
          </w:tcPr>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第一档，科学合理、完善可行、有针对性，得9.01-10分；</w:t>
            </w:r>
          </w:p>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第二档，较科学、较完善可行、较有针对性，得7.51-9分；</w:t>
            </w:r>
          </w:p>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第三档，保证措施一般，得6-7.5分。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735" w:type="dxa"/>
            <w:vMerge w:val="continue"/>
            <w:tcBorders>
              <w:right w:val="single" w:color="auto" w:sz="2" w:space="0"/>
            </w:tcBorders>
            <w:vAlign w:val="center"/>
          </w:tcPr>
          <w:p>
            <w:pPr>
              <w:snapToGrid w:val="0"/>
              <w:spacing w:line="400" w:lineRule="exact"/>
              <w:jc w:val="center"/>
              <w:rPr>
                <w:rFonts w:ascii="仿宋" w:hAnsi="仿宋" w:eastAsia="仿宋" w:cs="仿宋"/>
                <w:bCs/>
                <w:w w:val="90"/>
                <w:sz w:val="28"/>
                <w:szCs w:val="28"/>
              </w:rPr>
            </w:pPr>
          </w:p>
        </w:tc>
        <w:tc>
          <w:tcPr>
            <w:tcW w:w="1030" w:type="dxa"/>
            <w:vMerge w:val="continue"/>
            <w:tcBorders>
              <w:left w:val="single" w:color="auto" w:sz="2" w:space="0"/>
              <w:right w:val="single" w:color="auto" w:sz="2" w:space="0"/>
            </w:tcBorders>
            <w:vAlign w:val="center"/>
          </w:tcPr>
          <w:p>
            <w:pPr>
              <w:snapToGrid w:val="0"/>
              <w:spacing w:line="400" w:lineRule="exact"/>
              <w:jc w:val="center"/>
              <w:rPr>
                <w:rFonts w:ascii="仿宋" w:hAnsi="仿宋" w:eastAsia="仿宋" w:cs="仿宋"/>
                <w:bCs/>
                <w:sz w:val="28"/>
                <w:szCs w:val="28"/>
              </w:rPr>
            </w:pPr>
          </w:p>
        </w:tc>
        <w:tc>
          <w:tcPr>
            <w:tcW w:w="1124" w:type="dxa"/>
            <w:tcBorders>
              <w:left w:val="single" w:color="auto" w:sz="2" w:space="0"/>
            </w:tcBorders>
            <w:vAlign w:val="center"/>
          </w:tcPr>
          <w:p>
            <w:pPr>
              <w:snapToGrid w:val="0"/>
              <w:spacing w:line="400" w:lineRule="exact"/>
              <w:jc w:val="center"/>
              <w:rPr>
                <w:rFonts w:ascii="仿宋" w:hAnsi="仿宋" w:eastAsia="仿宋" w:cs="仿宋"/>
                <w:bCs/>
                <w:sz w:val="28"/>
                <w:szCs w:val="28"/>
              </w:rPr>
            </w:pPr>
            <w:r>
              <w:rPr>
                <w:rFonts w:hint="eastAsia" w:ascii="仿宋" w:hAnsi="仿宋" w:eastAsia="仿宋" w:cs="仿宋"/>
                <w:bCs/>
                <w:sz w:val="28"/>
                <w:szCs w:val="28"/>
              </w:rPr>
              <w:t>服务承诺</w:t>
            </w:r>
          </w:p>
        </w:tc>
        <w:tc>
          <w:tcPr>
            <w:tcW w:w="843" w:type="dxa"/>
            <w:vAlign w:val="center"/>
          </w:tcPr>
          <w:p>
            <w:pPr>
              <w:snapToGrid w:val="0"/>
              <w:spacing w:line="400" w:lineRule="exact"/>
              <w:jc w:val="center"/>
              <w:rPr>
                <w:rFonts w:ascii="仿宋" w:hAnsi="仿宋" w:eastAsia="仿宋" w:cs="仿宋"/>
                <w:bCs/>
                <w:sz w:val="28"/>
                <w:szCs w:val="28"/>
              </w:rPr>
            </w:pPr>
            <w:r>
              <w:rPr>
                <w:rFonts w:hint="eastAsia" w:ascii="仿宋" w:hAnsi="仿宋" w:eastAsia="仿宋" w:cs="仿宋"/>
                <w:bCs/>
                <w:sz w:val="28"/>
                <w:szCs w:val="28"/>
              </w:rPr>
              <w:t>10分</w:t>
            </w:r>
          </w:p>
        </w:tc>
        <w:tc>
          <w:tcPr>
            <w:tcW w:w="5978" w:type="dxa"/>
            <w:vAlign w:val="center"/>
          </w:tcPr>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第一档，对服务质量、运营安全、运营时限、人员保证、车辆性能等方面服务承诺系统全面、科学合理，得9.01-10分；</w:t>
            </w:r>
          </w:p>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第二档，服务承诺较完整、较科学，得7.51-9分；</w:t>
            </w:r>
          </w:p>
          <w:p>
            <w:pPr>
              <w:snapToGrid w:val="0"/>
              <w:spacing w:line="400" w:lineRule="exact"/>
              <w:rPr>
                <w:rFonts w:ascii="仿宋" w:hAnsi="仿宋" w:eastAsia="仿宋" w:cs="仿宋"/>
                <w:bCs/>
                <w:sz w:val="28"/>
                <w:szCs w:val="28"/>
              </w:rPr>
            </w:pPr>
            <w:r>
              <w:rPr>
                <w:rFonts w:hint="eastAsia" w:ascii="仿宋" w:hAnsi="仿宋" w:eastAsia="仿宋" w:cs="仿宋"/>
                <w:bCs/>
                <w:sz w:val="28"/>
                <w:szCs w:val="28"/>
              </w:rPr>
              <w:t>第三档，服务承诺不完整或不尽合理，得6-7.5分。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735" w:type="dxa"/>
            <w:tcBorders>
              <w:right w:val="single" w:color="auto" w:sz="2" w:space="0"/>
            </w:tcBorders>
            <w:vAlign w:val="center"/>
          </w:tcPr>
          <w:p>
            <w:pPr>
              <w:spacing w:line="400" w:lineRule="exact"/>
              <w:jc w:val="center"/>
              <w:rPr>
                <w:rFonts w:ascii="仿宋" w:hAnsi="仿宋" w:eastAsia="仿宋" w:cs="仿宋"/>
                <w:bCs/>
                <w:sz w:val="28"/>
                <w:szCs w:val="28"/>
              </w:rPr>
            </w:pPr>
            <w:r>
              <w:rPr>
                <w:rFonts w:hint="eastAsia" w:ascii="仿宋" w:hAnsi="仿宋" w:eastAsia="仿宋" w:cs="仿宋"/>
                <w:bCs/>
                <w:sz w:val="28"/>
                <w:szCs w:val="28"/>
              </w:rPr>
              <w:t>3</w:t>
            </w:r>
          </w:p>
        </w:tc>
        <w:tc>
          <w:tcPr>
            <w:tcW w:w="2154" w:type="dxa"/>
            <w:gridSpan w:val="2"/>
            <w:tcBorders>
              <w:left w:val="single" w:color="auto" w:sz="2" w:space="0"/>
            </w:tcBorders>
            <w:vAlign w:val="center"/>
          </w:tcPr>
          <w:p>
            <w:pPr>
              <w:spacing w:line="400" w:lineRule="exact"/>
              <w:jc w:val="center"/>
              <w:rPr>
                <w:rFonts w:ascii="仿宋" w:hAnsi="仿宋" w:eastAsia="仿宋" w:cs="仿宋"/>
                <w:bCs/>
                <w:sz w:val="28"/>
                <w:szCs w:val="28"/>
              </w:rPr>
            </w:pPr>
            <w:r>
              <w:rPr>
                <w:rFonts w:hint="eastAsia" w:ascii="仿宋" w:hAnsi="仿宋" w:eastAsia="仿宋" w:cs="仿宋"/>
                <w:bCs/>
                <w:sz w:val="28"/>
                <w:szCs w:val="28"/>
              </w:rPr>
              <w:t>评标价</w:t>
            </w:r>
          </w:p>
        </w:tc>
        <w:tc>
          <w:tcPr>
            <w:tcW w:w="843" w:type="dxa"/>
            <w:vAlign w:val="center"/>
          </w:tcPr>
          <w:p>
            <w:pPr>
              <w:spacing w:line="400" w:lineRule="exact"/>
              <w:jc w:val="center"/>
              <w:rPr>
                <w:rFonts w:ascii="仿宋" w:hAnsi="仿宋" w:eastAsia="仿宋" w:cs="仿宋"/>
                <w:bCs/>
                <w:sz w:val="28"/>
                <w:szCs w:val="28"/>
              </w:rPr>
            </w:pPr>
            <w:r>
              <w:rPr>
                <w:rFonts w:hint="eastAsia" w:ascii="仿宋" w:hAnsi="仿宋" w:eastAsia="仿宋" w:cs="仿宋"/>
                <w:bCs/>
                <w:sz w:val="28"/>
                <w:szCs w:val="28"/>
              </w:rPr>
              <w:t>10分</w:t>
            </w:r>
          </w:p>
        </w:tc>
        <w:tc>
          <w:tcPr>
            <w:tcW w:w="5978" w:type="dxa"/>
            <w:vAlign w:val="center"/>
          </w:tcPr>
          <w:p>
            <w:pPr>
              <w:spacing w:line="400" w:lineRule="exact"/>
              <w:rPr>
                <w:rFonts w:ascii="仿宋" w:hAnsi="仿宋" w:eastAsia="仿宋" w:cs="仿宋"/>
                <w:sz w:val="28"/>
                <w:szCs w:val="28"/>
              </w:rPr>
            </w:pPr>
            <w:r>
              <w:rPr>
                <w:rFonts w:hint="eastAsia" w:ascii="仿宋" w:hAnsi="仿宋" w:eastAsia="仿宋" w:cs="仿宋"/>
                <w:sz w:val="28"/>
                <w:szCs w:val="28"/>
              </w:rPr>
              <w:t>评标价得分计算公式示例：</w:t>
            </w:r>
          </w:p>
          <w:p>
            <w:pPr>
              <w:spacing w:line="400" w:lineRule="exact"/>
              <w:ind w:firstLine="324" w:firstLineChars="116"/>
              <w:rPr>
                <w:rFonts w:ascii="仿宋" w:hAnsi="仿宋" w:eastAsia="仿宋" w:cs="仿宋"/>
                <w:sz w:val="28"/>
                <w:szCs w:val="28"/>
              </w:rPr>
            </w:pPr>
            <w:r>
              <w:rPr>
                <w:rFonts w:hint="eastAsia" w:ascii="仿宋" w:hAnsi="仿宋" w:eastAsia="仿宋" w:cs="仿宋"/>
                <w:sz w:val="28"/>
                <w:szCs w:val="28"/>
              </w:rPr>
              <w:t>（1）如果投标人的评标价＞评标基准价，则评标价得分=F-（投标人评标价-评标基准价）/评标基准价×100×E1；</w:t>
            </w:r>
          </w:p>
          <w:p>
            <w:pPr>
              <w:spacing w:line="400" w:lineRule="exact"/>
              <w:ind w:firstLine="324" w:firstLineChars="116"/>
              <w:rPr>
                <w:rFonts w:ascii="仿宋" w:hAnsi="仿宋" w:eastAsia="仿宋" w:cs="仿宋"/>
                <w:sz w:val="28"/>
                <w:szCs w:val="28"/>
              </w:rPr>
            </w:pPr>
            <w:r>
              <w:rPr>
                <w:rFonts w:hint="eastAsia" w:ascii="仿宋" w:hAnsi="仿宋" w:eastAsia="仿宋" w:cs="仿宋"/>
                <w:sz w:val="28"/>
                <w:szCs w:val="28"/>
              </w:rPr>
              <w:t>（2）如果投标人的评标价≤评标基准价，则评标价得分=F+(投标人评标价-评标基准价)/评标基准价×100×E2。</w:t>
            </w:r>
          </w:p>
          <w:p>
            <w:pPr>
              <w:spacing w:line="400" w:lineRule="exact"/>
              <w:ind w:firstLine="324" w:firstLineChars="116"/>
              <w:rPr>
                <w:rFonts w:ascii="仿宋" w:hAnsi="仿宋" w:eastAsia="仿宋" w:cs="仿宋"/>
                <w:bCs/>
                <w:sz w:val="28"/>
                <w:szCs w:val="28"/>
              </w:rPr>
            </w:pPr>
            <w:r>
              <w:rPr>
                <w:rFonts w:hint="eastAsia" w:ascii="仿宋" w:hAnsi="仿宋" w:eastAsia="仿宋" w:cs="仿宋"/>
                <w:sz w:val="28"/>
                <w:szCs w:val="28"/>
              </w:rPr>
              <w:t>其中，F=10；E1=0.</w:t>
            </w:r>
            <w:r>
              <w:rPr>
                <w:rFonts w:ascii="仿宋" w:hAnsi="仿宋" w:eastAsia="仿宋" w:cs="仿宋"/>
                <w:sz w:val="28"/>
                <w:szCs w:val="28"/>
              </w:rPr>
              <w:t>2</w:t>
            </w:r>
            <w:r>
              <w:rPr>
                <w:rFonts w:hint="eastAsia" w:ascii="仿宋" w:hAnsi="仿宋" w:eastAsia="仿宋" w:cs="仿宋"/>
                <w:sz w:val="28"/>
                <w:szCs w:val="28"/>
              </w:rPr>
              <w:t>；E2=0.</w:t>
            </w:r>
            <w:r>
              <w:rPr>
                <w:rFonts w:ascii="仿宋" w:hAnsi="仿宋" w:eastAsia="仿宋" w:cs="仿宋"/>
                <w:sz w:val="28"/>
                <w:szCs w:val="28"/>
              </w:rPr>
              <w:t>1</w:t>
            </w:r>
            <w:r>
              <w:rPr>
                <w:rFonts w:hint="eastAsia" w:ascii="仿宋" w:hAnsi="仿宋" w:eastAsia="仿宋" w:cs="仿宋"/>
                <w:sz w:val="28"/>
                <w:szCs w:val="28"/>
              </w:rPr>
              <w:t>；评标价最低得分为0分。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2889" w:type="dxa"/>
            <w:gridSpan w:val="3"/>
            <w:vAlign w:val="center"/>
          </w:tcPr>
          <w:p>
            <w:pPr>
              <w:spacing w:line="400" w:lineRule="exact"/>
              <w:jc w:val="center"/>
              <w:rPr>
                <w:rFonts w:ascii="仿宋" w:hAnsi="仿宋" w:eastAsia="仿宋" w:cs="仿宋"/>
                <w:bCs/>
                <w:sz w:val="28"/>
                <w:szCs w:val="28"/>
              </w:rPr>
            </w:pPr>
            <w:r>
              <w:rPr>
                <w:rFonts w:hint="eastAsia" w:ascii="仿宋" w:hAnsi="仿宋" w:eastAsia="仿宋" w:cs="仿宋"/>
                <w:bCs/>
                <w:sz w:val="28"/>
                <w:szCs w:val="28"/>
              </w:rPr>
              <w:t>合计</w:t>
            </w:r>
          </w:p>
        </w:tc>
        <w:tc>
          <w:tcPr>
            <w:tcW w:w="843" w:type="dxa"/>
            <w:vAlign w:val="center"/>
          </w:tcPr>
          <w:p>
            <w:pPr>
              <w:spacing w:line="400" w:lineRule="exact"/>
              <w:jc w:val="center"/>
              <w:rPr>
                <w:rFonts w:ascii="仿宋" w:hAnsi="仿宋" w:eastAsia="仿宋" w:cs="仿宋"/>
                <w:bCs/>
                <w:sz w:val="28"/>
                <w:szCs w:val="28"/>
              </w:rPr>
            </w:pPr>
            <w:r>
              <w:rPr>
                <w:rFonts w:hint="eastAsia" w:ascii="仿宋" w:hAnsi="仿宋" w:eastAsia="仿宋" w:cs="仿宋"/>
                <w:bCs/>
                <w:sz w:val="28"/>
                <w:szCs w:val="28"/>
              </w:rPr>
              <w:t>100分</w:t>
            </w:r>
          </w:p>
        </w:tc>
        <w:tc>
          <w:tcPr>
            <w:tcW w:w="5978" w:type="dxa"/>
            <w:vAlign w:val="center"/>
          </w:tcPr>
          <w:p>
            <w:pPr>
              <w:spacing w:line="400" w:lineRule="exact"/>
              <w:jc w:val="center"/>
              <w:rPr>
                <w:rFonts w:ascii="仿宋" w:hAnsi="仿宋" w:eastAsia="仿宋" w:cs="仿宋"/>
                <w:bCs/>
                <w:sz w:val="28"/>
                <w:szCs w:val="28"/>
              </w:rPr>
            </w:pPr>
          </w:p>
        </w:tc>
      </w:tr>
    </w:tbl>
    <w:p>
      <w:pPr>
        <w:widowControl/>
        <w:snapToGrid w:val="0"/>
        <w:spacing w:line="300" w:lineRule="auto"/>
        <w:jc w:val="left"/>
        <w:rPr>
          <w:rFonts w:ascii="仿宋" w:hAnsi="仿宋" w:eastAsia="仿宋" w:cs="仿宋"/>
          <w:sz w:val="28"/>
          <w:szCs w:val="32"/>
        </w:rPr>
      </w:pPr>
      <w:r>
        <w:rPr>
          <w:rFonts w:hint="eastAsia" w:ascii="仿宋" w:hAnsi="仿宋" w:eastAsia="仿宋" w:cs="仿宋"/>
          <w:color w:val="000000"/>
          <w:kern w:val="0"/>
          <w:sz w:val="28"/>
          <w:szCs w:val="28"/>
          <w:lang w:bidi="ar"/>
        </w:rPr>
        <w:t>注：1、各评分因素得分应以评标委员会各成员的打分平均值确定，保留两位小数，第三位四舍五入。</w:t>
      </w:r>
    </w:p>
    <w:p>
      <w:pPr>
        <w:snapToGrid w:val="0"/>
        <w:spacing w:line="360" w:lineRule="auto"/>
        <w:jc w:val="left"/>
        <w:rPr>
          <w:rFonts w:ascii="仿宋" w:hAnsi="仿宋" w:eastAsia="仿宋" w:cs="仿宋"/>
        </w:rPr>
      </w:pPr>
      <w:r>
        <w:rPr>
          <w:rFonts w:hint="eastAsia" w:ascii="仿宋" w:hAnsi="仿宋" w:eastAsia="仿宋" w:cs="仿宋"/>
          <w:color w:val="000000"/>
          <w:kern w:val="0"/>
          <w:sz w:val="28"/>
          <w:szCs w:val="28"/>
          <w:lang w:bidi="ar"/>
        </w:rPr>
        <w:t>2、</w:t>
      </w:r>
      <w:r>
        <w:rPr>
          <w:rFonts w:hint="eastAsia" w:ascii="仿宋" w:hAnsi="仿宋" w:eastAsia="仿宋" w:cs="仿宋"/>
          <w:kern w:val="0"/>
          <w:sz w:val="28"/>
          <w:szCs w:val="28"/>
        </w:rPr>
        <w:t>服务方案</w:t>
      </w:r>
      <w:r>
        <w:rPr>
          <w:rFonts w:hint="eastAsia" w:ascii="仿宋" w:hAnsi="仿宋" w:eastAsia="仿宋" w:cs="仿宋"/>
          <w:color w:val="000000"/>
          <w:kern w:val="0"/>
          <w:sz w:val="28"/>
          <w:szCs w:val="28"/>
          <w:lang w:bidi="ar"/>
        </w:rPr>
        <w:t>评分因素细分项存在缺项的，则该项计0分</w:t>
      </w:r>
      <w:r>
        <w:rPr>
          <w:rFonts w:hint="eastAsia" w:ascii="仿宋" w:hAnsi="仿宋" w:eastAsia="仿宋" w:cs="仿宋"/>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579249D9"/>
    <w:rsid w:val="00C840C8"/>
    <w:rsid w:val="00D479A0"/>
    <w:rsid w:val="00E92975"/>
    <w:rsid w:val="00F9576F"/>
    <w:rsid w:val="0EA1004B"/>
    <w:rsid w:val="57924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szCs w:val="20"/>
    </w:rPr>
  </w:style>
  <w:style w:type="paragraph" w:styleId="3">
    <w:name w:val="Plain Text"/>
    <w:basedOn w:val="1"/>
    <w:next w:val="1"/>
    <w:qFormat/>
    <w:uiPriority w:val="99"/>
    <w:rPr>
      <w:rFonts w:ascii="宋体" w:hAnsi="Courier New"/>
      <w:kern w:val="0"/>
      <w:sz w:val="20"/>
      <w:szCs w:val="20"/>
    </w:rPr>
  </w:style>
  <w:style w:type="paragraph" w:styleId="4">
    <w:name w:val="Body Text"/>
    <w:basedOn w:val="1"/>
    <w:next w:val="5"/>
    <w:qFormat/>
    <w:uiPriority w:val="0"/>
    <w:rPr>
      <w:rFonts w:ascii="Times New Roman" w:hAnsi="Times New Roman"/>
      <w:kern w:val="0"/>
      <w:sz w:val="28"/>
      <w:szCs w:val="24"/>
    </w:rPr>
  </w:style>
  <w:style w:type="paragraph" w:styleId="5">
    <w:name w:val="Body Text 2"/>
    <w:basedOn w:val="1"/>
    <w:next w:val="1"/>
    <w:unhideWhenUsed/>
    <w:qFormat/>
    <w:uiPriority w:val="99"/>
    <w:pPr>
      <w:spacing w:after="120" w:line="480" w:lineRule="auto"/>
    </w:pPr>
  </w:style>
  <w:style w:type="paragraph" w:styleId="6">
    <w:name w:val="Body Text Indent"/>
    <w:basedOn w:val="1"/>
    <w:next w:val="7"/>
    <w:qFormat/>
    <w:uiPriority w:val="0"/>
    <w:pPr>
      <w:ind w:firstLine="480"/>
    </w:pPr>
    <w:rPr>
      <w:rFonts w:ascii="Times New Roman" w:hAnsi="Times New Roman"/>
      <w:kern w:val="0"/>
      <w:sz w:val="24"/>
      <w:szCs w:val="20"/>
    </w:rPr>
  </w:style>
  <w:style w:type="paragraph" w:styleId="7">
    <w:name w:val="envelope return"/>
    <w:basedOn w:val="1"/>
    <w:qFormat/>
    <w:uiPriority w:val="0"/>
    <w:pPr>
      <w:snapToGrid w:val="0"/>
    </w:pPr>
    <w:rPr>
      <w:rFonts w:ascii="Arial" w:hAnsi="Arial"/>
    </w:rPr>
  </w:style>
  <w:style w:type="paragraph" w:styleId="8">
    <w:name w:val="Balloon Text"/>
    <w:basedOn w:val="1"/>
    <w:link w:val="20"/>
    <w:uiPriority w:val="0"/>
    <w:rPr>
      <w:sz w:val="18"/>
      <w:szCs w:val="18"/>
    </w:rPr>
  </w:style>
  <w:style w:type="paragraph" w:styleId="9">
    <w:name w:val="footer"/>
    <w:basedOn w:val="1"/>
    <w:link w:val="19"/>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autoSpaceDE w:val="0"/>
      <w:autoSpaceDN w:val="0"/>
      <w:adjustRightInd w:val="0"/>
      <w:ind w:left="360" w:hanging="360"/>
      <w:jc w:val="left"/>
      <w:textAlignment w:val="baseline"/>
    </w:pPr>
    <w:rPr>
      <w:rFonts w:ascii="宋体"/>
      <w:b/>
      <w:kern w:val="0"/>
      <w:sz w:val="20"/>
      <w:szCs w:val="20"/>
    </w:rPr>
  </w:style>
  <w:style w:type="paragraph" w:styleId="12">
    <w:name w:val="Body Text First Indent 2"/>
    <w:basedOn w:val="6"/>
    <w:next w:val="11"/>
    <w:qFormat/>
    <w:uiPriority w:val="99"/>
    <w:pPr>
      <w:ind w:firstLine="420" w:firstLineChars="200"/>
    </w:pPr>
    <w:rPr>
      <w:color w:val="000000"/>
    </w:rPr>
  </w:style>
  <w:style w:type="character" w:customStyle="1" w:styleId="15">
    <w:name w:val="NormalCharacter"/>
    <w:qFormat/>
    <w:uiPriority w:val="0"/>
    <w:rPr>
      <w:rFonts w:ascii="Times New Roman" w:hAnsi="Times New Roman" w:eastAsia="宋体" w:cs="Times New Roman"/>
    </w:rPr>
  </w:style>
  <w:style w:type="character" w:customStyle="1" w:styleId="16">
    <w:name w:val="目录4 Char"/>
    <w:uiPriority w:val="0"/>
    <w:rPr>
      <w:rFonts w:ascii="黑体" w:eastAsia="黑体"/>
      <w:kern w:val="2"/>
      <w:sz w:val="24"/>
      <w:szCs w:val="24"/>
      <w:lang w:val="en-US" w:eastAsia="zh-CN" w:bidi="ar-SA"/>
    </w:rPr>
  </w:style>
  <w:style w:type="character" w:customStyle="1" w:styleId="17">
    <w:name w:val="目录4 Char Char"/>
    <w:qFormat/>
    <w:uiPriority w:val="0"/>
    <w:rPr>
      <w:rFonts w:ascii="黑体" w:eastAsia="黑体"/>
      <w:kern w:val="2"/>
      <w:sz w:val="24"/>
      <w:szCs w:val="24"/>
      <w:lang w:val="en-US" w:eastAsia="zh-CN" w:bidi="ar-SA"/>
    </w:rPr>
  </w:style>
  <w:style w:type="character" w:customStyle="1" w:styleId="18">
    <w:name w:val="页眉 Char"/>
    <w:basedOn w:val="14"/>
    <w:link w:val="10"/>
    <w:qFormat/>
    <w:uiPriority w:val="0"/>
    <w:rPr>
      <w:rFonts w:ascii="等线" w:hAnsi="等线" w:eastAsia="宋体" w:cs="Times New Roman"/>
      <w:kern w:val="2"/>
      <w:sz w:val="18"/>
      <w:szCs w:val="18"/>
    </w:rPr>
  </w:style>
  <w:style w:type="character" w:customStyle="1" w:styleId="19">
    <w:name w:val="页脚 Char"/>
    <w:basedOn w:val="14"/>
    <w:link w:val="9"/>
    <w:uiPriority w:val="0"/>
    <w:rPr>
      <w:rFonts w:ascii="等线" w:hAnsi="等线" w:eastAsia="宋体" w:cs="Times New Roman"/>
      <w:kern w:val="2"/>
      <w:sz w:val="18"/>
      <w:szCs w:val="18"/>
    </w:rPr>
  </w:style>
  <w:style w:type="character" w:customStyle="1" w:styleId="20">
    <w:name w:val="批注框文本 Char"/>
    <w:basedOn w:val="14"/>
    <w:link w:val="8"/>
    <w:uiPriority w:val="0"/>
    <w:rPr>
      <w:rFonts w:ascii="等线" w:hAnsi="等线"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4587</Words>
  <Characters>5007</Characters>
  <Lines>37</Lines>
  <Paragraphs>10</Paragraphs>
  <TotalTime>4</TotalTime>
  <ScaleCrop>false</ScaleCrop>
  <LinksUpToDate>false</LinksUpToDate>
  <CharactersWithSpaces>5086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2022-12-30T03:14:00Z</dcterms:created>
  <dc:creator>ZKJW</dc:creator>
  <cp:lastModifiedBy>丁燕</cp:lastModifiedBy>
  <cp:lastPrinted>2022-12-30T03:28:00Z</cp:lastPrinted>
  <dcterms:modified xsi:type="dcterms:W3CDTF">2022-12-31T01:52:29Z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4BB2AA2196864EB89D17E206EA4EA88D</vt:lpwstr>
  </property>
</Properties>
</file>