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eastAsia="宋体" w:cs="Times New Roman"/>
          <w:b/>
          <w:sz w:val="28"/>
          <w:szCs w:val="28"/>
        </w:rPr>
      </w:pPr>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具备独立法人资格，具有有效企业营业执照或事业单位法人证书；</w:t>
            </w:r>
          </w:p>
          <w:p>
            <w:pPr>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具备交通运输部门颁发的道路运输经营许可证（含县际客运及以上范围）。</w:t>
            </w:r>
          </w:p>
        </w:tc>
      </w:tr>
    </w:tbl>
    <w:p>
      <w:pPr>
        <w:jc w:val="center"/>
        <w:rPr>
          <w:rFonts w:ascii="宋体" w:hAnsi="宋体" w:eastAsia="宋体" w:cs="Times New Roman"/>
          <w:b/>
          <w:sz w:val="28"/>
        </w:rPr>
      </w:pPr>
    </w:p>
    <w:p>
      <w:pPr>
        <w:keepNext/>
        <w:keepLines/>
        <w:spacing w:before="26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eastAsia="宋体" w:cs="Times New Roman"/>
                <w:b/>
                <w:bCs/>
                <w:szCs w:val="21"/>
              </w:rPr>
            </w:pPr>
            <w:bookmarkStart w:id="0" w:name="_Hlk51692819"/>
            <w:bookmarkStart w:id="1" w:name="_Hlk50454153"/>
            <w:r>
              <w:rPr>
                <w:rFonts w:hint="eastAsia" w:ascii="宋体" w:hAnsi="宋体" w:eastAsia="宋体" w:cs="Times New Roman"/>
                <w:szCs w:val="21"/>
              </w:rPr>
              <w:t>近</w:t>
            </w:r>
            <w:r>
              <w:rPr>
                <w:rFonts w:ascii="宋体" w:hAnsi="宋体" w:eastAsia="宋体" w:cs="Times New Roman"/>
                <w:szCs w:val="21"/>
              </w:rPr>
              <w:t>3</w:t>
            </w:r>
            <w:r>
              <w:rPr>
                <w:rFonts w:hint="eastAsia" w:ascii="宋体" w:hAnsi="宋体" w:eastAsia="宋体" w:cs="Times New Roman"/>
                <w:szCs w:val="21"/>
              </w:rPr>
              <w:t>年内（201</w:t>
            </w:r>
            <w:r>
              <w:rPr>
                <w:rFonts w:ascii="宋体" w:hAnsi="宋体" w:eastAsia="宋体" w:cs="Times New Roman"/>
                <w:szCs w:val="21"/>
              </w:rPr>
              <w:t>9</w:t>
            </w:r>
            <w:r>
              <w:rPr>
                <w:rFonts w:hint="eastAsia" w:ascii="宋体" w:hAnsi="宋体" w:eastAsia="宋体" w:cs="Times New Roman"/>
                <w:szCs w:val="21"/>
              </w:rPr>
              <w:t>年</w:t>
            </w:r>
            <w:r>
              <w:rPr>
                <w:rFonts w:ascii="宋体" w:hAnsi="宋体" w:eastAsia="宋体" w:cs="Times New Roman"/>
                <w:szCs w:val="21"/>
              </w:rPr>
              <w:t>12月</w:t>
            </w:r>
            <w:r>
              <w:rPr>
                <w:rFonts w:hint="eastAsia" w:ascii="宋体" w:hAnsi="宋体" w:eastAsia="宋体" w:cs="Times New Roman"/>
                <w:szCs w:val="21"/>
              </w:rPr>
              <w:t>1日至今，以合同签订时间为准）投标人至少承担过一项客车租赁项目业绩。</w:t>
            </w:r>
            <w:bookmarkEnd w:id="0"/>
            <w:bookmarkEnd w:id="1"/>
          </w:p>
        </w:tc>
      </w:tr>
    </w:tbl>
    <w:p>
      <w:pPr>
        <w:jc w:val="center"/>
        <w:rPr>
          <w:rFonts w:ascii="宋体" w:hAnsi="宋体" w:eastAsia="宋体" w:cs="Times New Roman"/>
          <w:b/>
          <w:sz w:val="24"/>
        </w:rPr>
      </w:pPr>
    </w:p>
    <w:p>
      <w:pPr>
        <w:keepNext/>
        <w:keepLines/>
        <w:spacing w:before="120" w:after="260" w:line="300" w:lineRule="exact"/>
        <w:jc w:val="center"/>
        <w:outlineLvl w:val="2"/>
        <w:rPr>
          <w:rFonts w:hint="eastAsia"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21</w:t>
            </w:r>
            <w:r>
              <w:rPr>
                <w:rFonts w:hint="eastAsia" w:ascii="宋体" w:hAnsi="宋体" w:eastAsia="宋体" w:cs="Times New Roman"/>
              </w:rPr>
              <w:t>年</w:t>
            </w:r>
            <w:r>
              <w:rPr>
                <w:rFonts w:ascii="宋体" w:hAnsi="宋体" w:eastAsia="宋体" w:cs="Times New Roman"/>
              </w:rPr>
              <w:t>12</w:t>
            </w:r>
            <w:r>
              <w:rPr>
                <w:rFonts w:hint="eastAsia" w:ascii="宋体" w:hAnsi="宋体" w:eastAsia="宋体" w:cs="Times New Roman"/>
              </w:rPr>
              <w:t>月1日至今)</w:t>
            </w:r>
            <w:r>
              <w:rPr>
                <w:rFonts w:hint="eastAsia" w:ascii="宋体" w:hAnsi="宋体" w:eastAsia="宋体" w:cs="Times New Roman"/>
                <w:szCs w:val="21"/>
              </w:rPr>
              <w:t>不曾在公路合同中违约而被驱逐或因投标人自身的原因而使公路合同被解除。</w:t>
            </w:r>
          </w:p>
        </w:tc>
      </w:tr>
    </w:tbl>
    <w:p>
      <w:pPr>
        <w:spacing w:line="360" w:lineRule="exact"/>
        <w:jc w:val="left"/>
        <w:rPr>
          <w:rFonts w:ascii="宋体" w:hAnsi="宋体" w:eastAsia="宋体" w:cs="Times New Roman"/>
          <w:b/>
          <w:sz w:val="24"/>
        </w:rPr>
      </w:pPr>
    </w:p>
    <w:p>
      <w:pPr>
        <w:spacing w:line="360" w:lineRule="exact"/>
        <w:jc w:val="left"/>
        <w:rPr>
          <w:rFonts w:ascii="宋体" w:hAnsi="宋体" w:eastAsia="宋体" w:cs="Times New Roman"/>
          <w:b/>
          <w:sz w:val="24"/>
        </w:rPr>
      </w:pPr>
    </w:p>
    <w:p>
      <w:pPr>
        <w:adjustRightInd w:val="0"/>
        <w:spacing w:line="400" w:lineRule="atLeast"/>
        <w:rPr>
          <w:rFonts w:ascii="宋体" w:hAnsi="宋体" w:eastAsia="宋体" w:cs="Times New Roman"/>
          <w:sz w:val="24"/>
          <w:szCs w:val="24"/>
        </w:rPr>
      </w:pPr>
      <w:r>
        <w:rPr>
          <w:rFonts w:ascii="宋体" w:hAnsi="宋体" w:eastAsia="宋体" w:cs="Times New Roman"/>
        </w:rPr>
        <w:br w:type="page"/>
      </w:r>
      <w:bookmarkStart w:id="2" w:name="_GoBack"/>
      <w:bookmarkEnd w:id="2"/>
      <w:r>
        <w:rPr>
          <w:rFonts w:hint="eastAsia" w:ascii="宋体" w:hAnsi="宋体" w:eastAsia="宋体" w:cs="Times New Roman"/>
          <w:b/>
          <w:bCs/>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（2）技术得分较高的投标人优先；</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 xml:space="preserve">累计金额高的优先。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a．投标函按招标文件规定填报了项目名称、标段号、补遗书编号（如有）、服务期限、质量要求及安全目标；</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widowControl/>
              <w:spacing w:line="36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（3）投标人按照招标文件的规定提供了投标保证金：</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a.投标保证金金额符合招标文件规定的金额，且投标保证金有效期不少于投标有效期；</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420" w:firstLineChars="200"/>
              <w:rPr>
                <w:rFonts w:hint="eastAsia" w:ascii="宋体" w:hAnsi="宋体" w:eastAsia="宋体" w:cs="Times New Roman"/>
                <w:szCs w:val="21"/>
              </w:rPr>
            </w:pPr>
            <w:r>
              <w:rPr>
                <w:rFonts w:hint="eastAsia" w:ascii="宋体" w:hAnsi="宋体" w:eastAsia="宋体" w:cs="Times New Roman"/>
                <w:szCs w:val="21"/>
              </w:rPr>
              <w:t>d.若投标保证金采用保证保险形式提交，保证保险的格式、开具保证保险的公司均满足招标文件要求。</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（7）同一投标人未对同一标段提交两个以上不同的投标文件。</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）投标文件载明的招标项目完成期限未超过招标文件规定的时限。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）投标人未对本项目进行分包。</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hint="eastAsia"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a.投标函按招标文件规定填报了项目名称、标段号、补遗书编号（如有）、投标价（包括大写金额和小写金额）；</w:t>
            </w:r>
          </w:p>
          <w:p>
            <w:pPr>
              <w:tabs>
                <w:tab w:val="left" w:pos="3060"/>
              </w:tabs>
              <w:spacing w:line="36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（3）投标报价中的报价未超过招标文件设定的最高投标限价。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（4）投标报价中报价的大写金额能够确定具体数值。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（5）同一投标人未对同一标段提交两个以上不同的投标报价。</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bCs/>
                <w:szCs w:val="21"/>
              </w:rPr>
              <w:t>已</w:t>
            </w:r>
            <w:r>
              <w:rPr>
                <w:rFonts w:hint="eastAsia" w:ascii="宋体" w:hAnsi="宋体" w:eastAsia="宋体" w:cs="Times New Roman"/>
                <w:szCs w:val="21"/>
              </w:rPr>
              <w:t>标价清单中的投标报价和投标函大写金额报价一致。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（1）投标人具备有效的营业执照、组织机构代码证（三证合一或五证合一的除外）、经营许可证和基本账户开户许可证或基本存款账户信息。</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10</w:t>
            </w:r>
            <w:r>
              <w:rPr>
                <w:rFonts w:hint="eastAsia" w:ascii="宋体" w:hAnsi="宋体" w:eastAsia="宋体" w:cs="Times New Roman"/>
                <w:szCs w:val="21"/>
              </w:rPr>
              <w:t>分</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80</w:t>
            </w:r>
            <w:r>
              <w:rPr>
                <w:rFonts w:hint="eastAsia" w:ascii="宋体" w:hAnsi="宋体" w:eastAsia="宋体" w:cs="Times New Roman"/>
                <w:szCs w:val="21"/>
              </w:rPr>
              <w:t>分</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.6.2</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szCs w:val="21"/>
              </w:rPr>
            </w:pPr>
            <w:r>
              <w:rPr>
                <w:rFonts w:hint="eastAsia" w:ascii="宋体" w:hAnsi="宋体" w:eastAsia="宋体" w:cs="Times New Roman"/>
                <w:szCs w:val="21"/>
              </w:rPr>
              <w:t>电子招标串通投标</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（2）有下列情形之一的，视为投标人相互串通投标增加：</w:t>
            </w:r>
          </w:p>
          <w:p>
            <w:pPr>
              <w:adjustRightInd w:val="0"/>
              <w:snapToGrid w:val="0"/>
              <w:spacing w:line="300" w:lineRule="exact"/>
              <w:rPr>
                <w:rFonts w:hint="eastAsia" w:ascii="宋体" w:hAnsi="宋体" w:eastAsia="宋体" w:cs="Times New Roman"/>
              </w:rPr>
            </w:pPr>
            <w:r>
              <w:rPr>
                <w:rFonts w:hint="eastAsia" w:ascii="宋体" w:hAnsi="宋体" w:eastAsia="宋体" w:cs="Times New Roman"/>
              </w:rPr>
              <w:t>g</w:t>
            </w:r>
            <w:r>
              <w:rPr>
                <w:rFonts w:ascii="宋体" w:hAnsi="宋体" w:eastAsia="宋体" w:cs="Times New Roman"/>
              </w:rPr>
              <w:t>.</w:t>
            </w:r>
            <w:r>
              <w:rPr>
                <w:rFonts w:hint="eastAsia" w:ascii="宋体" w:hAnsi="宋体" w:eastAsia="宋体" w:cs="Times New Roman"/>
              </w:rPr>
              <w:t>不同投标人的电子投标文件I</w:t>
            </w:r>
            <w:r>
              <w:rPr>
                <w:rFonts w:ascii="宋体" w:hAnsi="宋体" w:eastAsia="宋体" w:cs="Times New Roman"/>
              </w:rPr>
              <w:t>P</w:t>
            </w:r>
            <w:r>
              <w:rPr>
                <w:rFonts w:hint="eastAsia" w:ascii="宋体" w:hAnsi="宋体" w:eastAsia="宋体" w:cs="Times New Roman"/>
              </w:rPr>
              <w:t>、M</w:t>
            </w:r>
            <w:r>
              <w:rPr>
                <w:rFonts w:ascii="宋体" w:hAnsi="宋体" w:eastAsia="宋体" w:cs="Times New Roman"/>
              </w:rPr>
              <w:t>AC</w:t>
            </w:r>
            <w:r>
              <w:rPr>
                <w:rFonts w:hint="eastAsia" w:ascii="宋体" w:hAnsi="宋体" w:eastAsia="宋体" w:cs="Times New Roman"/>
              </w:rPr>
              <w:t>地址相同。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pPr>
              <w:snapToGrid w:val="0"/>
              <w:jc w:val="center"/>
              <w:rPr>
                <w:rFonts w:ascii="宋体" w:hAnsi="宋体" w:eastAsia="宋体" w:cs="宋体"/>
                <w:bCs/>
                <w:w w:val="90"/>
                <w:szCs w:val="21"/>
              </w:rPr>
            </w:pPr>
            <w:r>
              <w:rPr>
                <w:rFonts w:ascii="宋体" w:hAnsi="宋体" w:eastAsia="宋体" w:cs="宋体"/>
                <w:bCs/>
                <w:w w:val="90"/>
                <w:szCs w:val="21"/>
              </w:rPr>
              <w:t>1</w:t>
            </w:r>
          </w:p>
        </w:tc>
        <w:tc>
          <w:tcPr>
            <w:tcW w:w="2154" w:type="dxa"/>
            <w:gridSpan w:val="2"/>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满足资格审查条件(业绩最低要求)得6分；</w:t>
            </w:r>
          </w:p>
          <w:p>
            <w:pPr>
              <w:snapToGrid w:val="0"/>
              <w:rPr>
                <w:rFonts w:ascii="宋体" w:hAnsi="宋体" w:eastAsia="宋体" w:cs="宋体"/>
                <w:bCs/>
                <w:szCs w:val="21"/>
              </w:rPr>
            </w:pPr>
            <w:r>
              <w:rPr>
                <w:rFonts w:hint="eastAsia" w:ascii="宋体" w:hAnsi="宋体" w:eastAsia="宋体" w:cs="Times New Roman"/>
                <w:szCs w:val="21"/>
              </w:rPr>
              <w:t>每增加一项满足资格审查条件(业绩最低要求)的</w:t>
            </w:r>
            <w:r>
              <w:rPr>
                <w:rFonts w:hint="eastAsia" w:ascii="宋体" w:hAnsi="宋体" w:eastAsia="宋体" w:cs="宋体"/>
                <w:bCs/>
                <w:szCs w:val="21"/>
              </w:rPr>
              <w:t>业绩加</w:t>
            </w:r>
            <w:r>
              <w:rPr>
                <w:rFonts w:ascii="宋体" w:hAnsi="宋体" w:eastAsia="宋体" w:cs="宋体"/>
                <w:bCs/>
                <w:szCs w:val="21"/>
              </w:rPr>
              <w:t>2</w:t>
            </w:r>
            <w:r>
              <w:rPr>
                <w:rFonts w:hint="eastAsia" w:ascii="宋体" w:hAnsi="宋体" w:eastAsia="宋体" w:cs="宋体"/>
                <w:bCs/>
                <w:szCs w:val="21"/>
              </w:rPr>
              <w:t>分，最高加</w:t>
            </w:r>
            <w:r>
              <w:rPr>
                <w:rFonts w:ascii="宋体" w:hAnsi="宋体" w:eastAsia="宋体" w:cs="宋体"/>
                <w:bCs/>
                <w:szCs w:val="21"/>
              </w:rPr>
              <w:t>4</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307" w:hRule="exac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hint="eastAsia"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80</w:t>
            </w:r>
            <w:r>
              <w:rPr>
                <w:rFonts w:hint="eastAsia" w:ascii="宋体" w:hAnsi="宋体" w:eastAsia="宋体" w:cs="宋体"/>
                <w:bCs/>
                <w:szCs w:val="21"/>
              </w:rPr>
              <w:t>分）</w:t>
            </w:r>
          </w:p>
        </w:tc>
        <w:tc>
          <w:tcPr>
            <w:tcW w:w="1124" w:type="dxa"/>
            <w:tcBorders>
              <w:left w:val="single" w:color="auto" w:sz="2" w:space="0"/>
            </w:tcBorders>
            <w:vAlign w:val="center"/>
          </w:tcPr>
          <w:p>
            <w:pPr>
              <w:snapToGrid w:val="0"/>
              <w:spacing w:before="156" w:beforeLines="50" w:after="156" w:afterLines="50"/>
              <w:jc w:val="center"/>
              <w:rPr>
                <w:rFonts w:hint="eastAsia" w:ascii="宋体" w:hAnsi="宋体" w:eastAsia="宋体" w:cs="宋体"/>
                <w:bCs/>
                <w:szCs w:val="21"/>
              </w:rPr>
            </w:pPr>
            <w:r>
              <w:rPr>
                <w:rFonts w:hint="eastAsia" w:ascii="宋体" w:hAnsi="宋体" w:eastAsia="宋体" w:cs="宋体"/>
                <w:bCs/>
                <w:szCs w:val="21"/>
              </w:rPr>
              <w:t>组织机构及车辆配备</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根据投标人项目实施团队的组织机构和车辆配备优劣进行比较打分：</w:t>
            </w:r>
          </w:p>
          <w:p>
            <w:pPr>
              <w:snapToGrid w:val="0"/>
              <w:rPr>
                <w:rFonts w:hint="eastAsia" w:ascii="宋体" w:hAnsi="宋体" w:eastAsia="宋体" w:cs="宋体"/>
                <w:bCs/>
                <w:szCs w:val="21"/>
              </w:rPr>
            </w:pPr>
            <w:r>
              <w:rPr>
                <w:rFonts w:hint="eastAsia" w:ascii="宋体" w:hAnsi="宋体" w:eastAsia="宋体" w:cs="宋体"/>
                <w:bCs/>
                <w:szCs w:val="21"/>
              </w:rPr>
              <w:t>第一档，组织管理机构完善、合理，车辆性能先进，车辆购置年限在</w:t>
            </w:r>
            <w:r>
              <w:rPr>
                <w:rFonts w:ascii="宋体" w:hAnsi="宋体" w:eastAsia="宋体" w:cs="宋体"/>
                <w:bCs/>
                <w:szCs w:val="21"/>
              </w:rPr>
              <w:t>2</w:t>
            </w:r>
            <w:r>
              <w:rPr>
                <w:rFonts w:hint="eastAsia" w:ascii="宋体" w:hAnsi="宋体" w:eastAsia="宋体" w:cs="宋体"/>
                <w:bCs/>
                <w:szCs w:val="21"/>
              </w:rPr>
              <w:t>年以内的（20</w:t>
            </w:r>
            <w:r>
              <w:rPr>
                <w:rFonts w:ascii="宋体" w:hAnsi="宋体" w:eastAsia="宋体" w:cs="宋体"/>
                <w:bCs/>
                <w:szCs w:val="21"/>
              </w:rPr>
              <w:t>20</w:t>
            </w:r>
            <w:r>
              <w:rPr>
                <w:rFonts w:hint="eastAsia" w:ascii="宋体" w:hAnsi="宋体" w:eastAsia="宋体" w:cs="宋体"/>
                <w:bCs/>
                <w:szCs w:val="21"/>
              </w:rPr>
              <w:t>年12月1日至今，以车辆机动车行驶证注册日期为准），得</w:t>
            </w:r>
            <w:r>
              <w:rPr>
                <w:rFonts w:ascii="宋体" w:hAnsi="宋体" w:eastAsia="宋体" w:cs="宋体"/>
                <w:bCs/>
                <w:szCs w:val="21"/>
              </w:rPr>
              <w:t>16</w:t>
            </w:r>
            <w:r>
              <w:rPr>
                <w:rFonts w:hint="eastAsia" w:ascii="宋体" w:hAnsi="宋体" w:eastAsia="宋体" w:cs="宋体"/>
                <w:bCs/>
                <w:szCs w:val="21"/>
              </w:rPr>
              <w:t>-</w:t>
            </w:r>
            <w:r>
              <w:rPr>
                <w:rFonts w:ascii="宋体" w:hAnsi="宋体" w:eastAsia="宋体" w:cs="宋体"/>
                <w:bCs/>
                <w:szCs w:val="21"/>
              </w:rPr>
              <w:t>20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第二档，组织管理机构健全、合理，车辆性能一般，车辆购置年限在</w:t>
            </w:r>
            <w:r>
              <w:rPr>
                <w:rFonts w:ascii="宋体" w:hAnsi="宋体" w:eastAsia="宋体" w:cs="宋体"/>
                <w:bCs/>
                <w:szCs w:val="21"/>
              </w:rPr>
              <w:t>5</w:t>
            </w:r>
            <w:r>
              <w:rPr>
                <w:rFonts w:hint="eastAsia" w:ascii="宋体" w:hAnsi="宋体" w:eastAsia="宋体" w:cs="宋体"/>
                <w:bCs/>
                <w:szCs w:val="21"/>
              </w:rPr>
              <w:t>年以内的（201</w:t>
            </w:r>
            <w:r>
              <w:rPr>
                <w:rFonts w:ascii="宋体" w:hAnsi="宋体" w:eastAsia="宋体" w:cs="宋体"/>
                <w:bCs/>
                <w:szCs w:val="21"/>
              </w:rPr>
              <w:t>7</w:t>
            </w:r>
            <w:r>
              <w:rPr>
                <w:rFonts w:hint="eastAsia" w:ascii="宋体" w:hAnsi="宋体" w:eastAsia="宋体" w:cs="宋体"/>
                <w:bCs/>
                <w:szCs w:val="21"/>
              </w:rPr>
              <w:t>年12月1日至今，以车辆机动车行驶证注册日期为准），得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16</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第三档，组织管理机构和人员构成基本合理，车辆性能落后，车辆购置年限在</w:t>
            </w:r>
            <w:r>
              <w:rPr>
                <w:rFonts w:ascii="宋体" w:hAnsi="宋体" w:eastAsia="宋体" w:cs="宋体"/>
                <w:bCs/>
                <w:szCs w:val="21"/>
              </w:rPr>
              <w:t>5</w:t>
            </w:r>
            <w:r>
              <w:rPr>
                <w:rFonts w:hint="eastAsia" w:ascii="宋体" w:hAnsi="宋体" w:eastAsia="宋体" w:cs="宋体"/>
                <w:bCs/>
                <w:szCs w:val="21"/>
              </w:rPr>
              <w:t>年以外的（201</w:t>
            </w:r>
            <w:r>
              <w:rPr>
                <w:rFonts w:ascii="宋体" w:hAnsi="宋体" w:eastAsia="宋体" w:cs="宋体"/>
                <w:bCs/>
                <w:szCs w:val="21"/>
              </w:rPr>
              <w:t>7</w:t>
            </w:r>
            <w:r>
              <w:rPr>
                <w:rFonts w:hint="eastAsia" w:ascii="宋体" w:hAnsi="宋体" w:eastAsia="宋体" w:cs="宋体"/>
                <w:bCs/>
                <w:szCs w:val="21"/>
              </w:rPr>
              <w:t>年1</w:t>
            </w:r>
            <w:r>
              <w:rPr>
                <w:rFonts w:ascii="宋体" w:hAnsi="宋体" w:eastAsia="宋体" w:cs="宋体"/>
                <w:bCs/>
                <w:szCs w:val="21"/>
              </w:rPr>
              <w:t>1</w:t>
            </w:r>
            <w:r>
              <w:rPr>
                <w:rFonts w:hint="eastAsia" w:ascii="宋体" w:hAnsi="宋体" w:eastAsia="宋体" w:cs="宋体"/>
                <w:bCs/>
                <w:szCs w:val="21"/>
              </w:rPr>
              <w:t>月30日及之前，以车辆机动车行驶证注册日期为准），得</w:t>
            </w:r>
            <w:r>
              <w:rPr>
                <w:rFonts w:ascii="宋体" w:hAnsi="宋体" w:eastAsia="宋体" w:cs="宋体"/>
                <w:bCs/>
                <w:szCs w:val="21"/>
              </w:rPr>
              <w:t>12</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实施计划及服务方案</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第一档，实施计划科学合理，总体方案完整、内容齐全，有针对性，得20-25分；</w:t>
            </w:r>
          </w:p>
          <w:p>
            <w:pPr>
              <w:snapToGrid w:val="0"/>
              <w:rPr>
                <w:rFonts w:hint="eastAsia" w:ascii="宋体" w:hAnsi="宋体" w:eastAsia="宋体" w:cs="宋体"/>
                <w:bCs/>
                <w:szCs w:val="21"/>
              </w:rPr>
            </w:pPr>
            <w:r>
              <w:rPr>
                <w:rFonts w:hint="eastAsia" w:ascii="宋体" w:hAnsi="宋体" w:eastAsia="宋体" w:cs="宋体"/>
                <w:bCs/>
                <w:szCs w:val="21"/>
              </w:rPr>
              <w:t>第二档，实施计划较科学合理，总体方案较完整，得15-20分；</w:t>
            </w:r>
          </w:p>
          <w:p>
            <w:pPr>
              <w:snapToGrid w:val="0"/>
              <w:rPr>
                <w:rFonts w:hint="eastAsia" w:ascii="宋体" w:hAnsi="宋体" w:eastAsia="宋体" w:cs="宋体"/>
                <w:bCs/>
                <w:szCs w:val="21"/>
              </w:rPr>
            </w:pPr>
            <w:r>
              <w:rPr>
                <w:rFonts w:hint="eastAsia" w:ascii="宋体" w:hAnsi="宋体" w:eastAsia="宋体" w:cs="宋体"/>
                <w:bCs/>
                <w:szCs w:val="21"/>
              </w:rPr>
              <w:t>第三档，实施计划欠合理，总体方案过于简单，得</w:t>
            </w:r>
            <w:r>
              <w:rPr>
                <w:rFonts w:ascii="宋体" w:hAnsi="宋体" w:eastAsia="宋体" w:cs="宋体"/>
                <w:bCs/>
                <w:szCs w:val="21"/>
              </w:rPr>
              <w:t>15</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日常管理标准及措施</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15分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第一档，科学合理，内容详细，得1</w:t>
            </w:r>
            <w:r>
              <w:rPr>
                <w:rFonts w:ascii="宋体" w:hAnsi="宋体" w:eastAsia="宋体" w:cs="宋体"/>
                <w:bCs/>
                <w:szCs w:val="21"/>
              </w:rPr>
              <w:t>2-15</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9-12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第三档，欠合理，内容过于简单，得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eastAsia="宋体" w:cs="宋体"/>
                <w:bCs/>
                <w:szCs w:val="21"/>
              </w:rPr>
            </w:pPr>
          </w:p>
        </w:tc>
        <w:tc>
          <w:tcPr>
            <w:tcW w:w="1124" w:type="dxa"/>
            <w:tcBorders>
              <w:left w:val="single" w:color="auto" w:sz="2" w:space="0"/>
            </w:tcBorders>
            <w:vAlign w:val="center"/>
          </w:tcPr>
          <w:p>
            <w:pPr>
              <w:snapToGrid w:val="0"/>
              <w:jc w:val="center"/>
              <w:rPr>
                <w:rFonts w:hint="eastAsia" w:ascii="宋体" w:hAnsi="宋体" w:eastAsia="宋体" w:cs="宋体"/>
                <w:bCs/>
                <w:szCs w:val="21"/>
              </w:rPr>
            </w:pPr>
            <w:r>
              <w:rPr>
                <w:rFonts w:hint="eastAsia" w:ascii="宋体" w:hAnsi="宋体" w:eastAsia="宋体" w:cs="宋体"/>
                <w:bCs/>
                <w:szCs w:val="21"/>
              </w:rPr>
              <w:t>内部规章制度及人员考核培训方案</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10分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hint="eastAsia"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服务承诺</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hint="eastAsia" w:ascii="宋体" w:hAnsi="宋体" w:eastAsia="宋体" w:cs="宋体"/>
                <w:bCs/>
                <w:szCs w:val="21"/>
              </w:rPr>
            </w:pPr>
            <w:r>
              <w:rPr>
                <w:rFonts w:hint="eastAsia" w:ascii="宋体" w:hAnsi="宋体" w:eastAsia="宋体" w:cs="宋体"/>
                <w:bCs/>
                <w:szCs w:val="21"/>
              </w:rPr>
              <w:t>第一档，服务承诺系统全面、科学合理，得8-10分；</w:t>
            </w:r>
          </w:p>
          <w:p>
            <w:pPr>
              <w:snapToGrid w:val="0"/>
              <w:rPr>
                <w:rFonts w:hint="eastAsia" w:ascii="宋体" w:hAnsi="宋体" w:eastAsia="宋体" w:cs="宋体"/>
                <w:bCs/>
                <w:szCs w:val="21"/>
              </w:rPr>
            </w:pPr>
            <w:r>
              <w:rPr>
                <w:rFonts w:hint="eastAsia" w:ascii="宋体" w:hAnsi="宋体" w:eastAsia="宋体" w:cs="宋体"/>
                <w:bCs/>
                <w:szCs w:val="21"/>
              </w:rPr>
              <w:t>第二档，服务承诺较完整、较科学，得6-8分；</w:t>
            </w:r>
          </w:p>
          <w:p>
            <w:pPr>
              <w:snapToGrid w:val="0"/>
              <w:rPr>
                <w:rFonts w:ascii="宋体" w:hAnsi="宋体" w:eastAsia="宋体" w:cs="宋体"/>
                <w:bCs/>
                <w:szCs w:val="21"/>
              </w:rPr>
            </w:pPr>
            <w:r>
              <w:rPr>
                <w:rFonts w:hint="eastAsia" w:ascii="宋体" w:hAnsi="宋体" w:eastAsia="宋体" w:cs="宋体"/>
                <w:bCs/>
                <w:szCs w:val="21"/>
              </w:rPr>
              <w:t>第三档，服务承诺不完整或不尽合理，得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hint="eastAsia" w:ascii="宋体" w:hAnsi="宋体" w:eastAsia="宋体" w:cs="宋体"/>
                <w:bCs/>
                <w:szCs w:val="21"/>
              </w:rPr>
            </w:pPr>
            <w:r>
              <w:rPr>
                <w:rFonts w:ascii="宋体" w:hAnsi="宋体" w:eastAsia="宋体" w:cs="宋体"/>
                <w:bCs/>
                <w:szCs w:val="21"/>
              </w:rPr>
              <w:t>3</w:t>
            </w:r>
          </w:p>
        </w:tc>
        <w:tc>
          <w:tcPr>
            <w:tcW w:w="2154" w:type="dxa"/>
            <w:gridSpan w:val="2"/>
            <w:tcBorders>
              <w:left w:val="single" w:color="auto" w:sz="2" w:space="0"/>
            </w:tcBorders>
            <w:vAlign w:val="center"/>
          </w:tcPr>
          <w:p>
            <w:pPr>
              <w:jc w:val="center"/>
              <w:rPr>
                <w:rFonts w:hint="eastAsia"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hint="eastAsia"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hint="eastAsia"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hint="eastAsia"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宋体"/>
                <w:bCs/>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hint="eastAsia"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080038"/>
    <w:rsid w:val="00080038"/>
    <w:rsid w:val="003B23FD"/>
    <w:rsid w:val="00641CB7"/>
    <w:rsid w:val="00A1710B"/>
    <w:rsid w:val="00D66E79"/>
    <w:rsid w:val="00F00004"/>
    <w:rsid w:val="6CF6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4803</Words>
  <Characters>5329</Characters>
  <Lines>40</Lines>
  <Paragraphs>11</Paragraphs>
  <TotalTime>0</TotalTime>
  <ScaleCrop>false</ScaleCrop>
  <LinksUpToDate>false</LinksUpToDate>
  <CharactersWithSpaces>5435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2022-12-29T09:07:00Z</dcterms:created>
  <dc:creator>office</dc:creator>
  <cp:lastModifiedBy>丁燕</cp:lastModifiedBy>
  <dcterms:modified xsi:type="dcterms:W3CDTF">2022-12-30T00:34:32Z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BB5D002BE20D4BDF84FBCAF03AF743FD</vt:lpwstr>
  </property>
</Properties>
</file>