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宋体" w:hAnsi="宋体" w:eastAsia="宋体" w:cs="Times New Roman"/>
          <w:b/>
          <w:sz w:val="28"/>
          <w:szCs w:val="28"/>
        </w:rPr>
      </w:pPr>
      <w:r>
        <w:rPr>
          <w:rFonts w:hint="eastAsia" w:ascii="宋体" w:hAnsi="宋体" w:eastAsia="宋体" w:cs="Times New Roman"/>
          <w:b/>
          <w:sz w:val="24"/>
          <w:szCs w:val="24"/>
        </w:rPr>
        <w:t>附件</w:t>
      </w:r>
      <w:r>
        <w:rPr>
          <w:rFonts w:ascii="宋体" w:hAnsi="宋体" w:eastAsia="宋体" w:cs="Times New Roman"/>
          <w:b/>
          <w:sz w:val="24"/>
          <w:szCs w:val="24"/>
        </w:rPr>
        <w:t>1</w:t>
      </w:r>
      <w:r>
        <w:rPr>
          <w:rFonts w:hint="eastAsia" w:ascii="宋体" w:hAnsi="宋体" w:eastAsia="宋体" w:cs="Times New Roman"/>
          <w:b/>
          <w:sz w:val="24"/>
          <w:szCs w:val="24"/>
        </w:rPr>
        <w:t>：</w:t>
      </w:r>
      <w:r>
        <w:rPr>
          <w:rFonts w:hint="eastAsia" w:ascii="宋体" w:hAnsi="宋体" w:eastAsia="宋体" w:cs="Times New Roman"/>
          <w:b/>
          <w:sz w:val="24"/>
        </w:rPr>
        <w:t>资格审查条件</w:t>
      </w:r>
    </w:p>
    <w:p>
      <w:pPr>
        <w:keepNext/>
        <w:keepLines/>
        <w:spacing w:before="26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附录1 资格审查条件（资质最低要求）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8"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eastAsia="宋体" w:cs="Times New Roman"/>
                <w:szCs w:val="21"/>
              </w:rPr>
            </w:pPr>
            <w:r>
              <w:rPr>
                <w:rFonts w:hint="eastAsia" w:ascii="宋体" w:hAnsi="宋体" w:eastAsia="宋体" w:cs="Times New Roman"/>
                <w:szCs w:val="21"/>
              </w:rPr>
              <w:t>具备独立法人资格，具有有效企业营业执照或事业单位法人证书；</w:t>
            </w:r>
          </w:p>
          <w:p>
            <w:pPr>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具备交通运输部门颁发的道路运输经营许可证（含县际客运及以上范围）。</w:t>
            </w:r>
          </w:p>
        </w:tc>
      </w:tr>
    </w:tbl>
    <w:p>
      <w:pPr>
        <w:jc w:val="center"/>
        <w:rPr>
          <w:rFonts w:ascii="宋体" w:hAnsi="宋体" w:eastAsia="宋体" w:cs="Times New Roman"/>
          <w:b/>
          <w:sz w:val="28"/>
        </w:rPr>
      </w:pPr>
    </w:p>
    <w:p>
      <w:pPr>
        <w:keepNext/>
        <w:keepLines/>
        <w:spacing w:before="260" w:after="260" w:line="300" w:lineRule="exact"/>
        <w:jc w:val="center"/>
        <w:outlineLvl w:val="2"/>
        <w:rPr>
          <w:rFonts w:hint="eastAsia"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 xml:space="preserve">2 </w:t>
      </w:r>
      <w:r>
        <w:rPr>
          <w:rFonts w:hint="eastAsia" w:ascii="宋体" w:hAnsi="宋体" w:eastAsia="宋体" w:cs="Times New Roman"/>
          <w:b/>
          <w:kern w:val="0"/>
          <w:sz w:val="24"/>
          <w:szCs w:val="24"/>
        </w:rPr>
        <w:t>资格审查条件</w:t>
      </w:r>
      <w:r>
        <w:rPr>
          <w:rFonts w:ascii="宋体" w:hAnsi="宋体" w:eastAsia="宋体" w:cs="Times New Roman"/>
          <w:b/>
          <w:kern w:val="0"/>
          <w:sz w:val="24"/>
          <w:szCs w:val="24"/>
        </w:rPr>
        <w:t>(</w:t>
      </w:r>
      <w:r>
        <w:rPr>
          <w:rFonts w:hint="eastAsia" w:ascii="宋体" w:hAnsi="宋体" w:eastAsia="宋体" w:cs="Times New Roman"/>
          <w:b/>
          <w:kern w:val="0"/>
          <w:sz w:val="24"/>
          <w:szCs w:val="24"/>
        </w:rPr>
        <w:t>业绩最低要求</w:t>
      </w:r>
      <w:r>
        <w:rPr>
          <w:rFonts w:ascii="宋体" w:hAnsi="宋体" w:eastAsia="宋体" w:cs="Times New Roman"/>
          <w:b/>
          <w:kern w:val="0"/>
          <w:sz w:val="24"/>
          <w:szCs w:val="24"/>
        </w:rPr>
        <w:t>)</w:t>
      </w:r>
    </w:p>
    <w:tbl>
      <w:tblPr>
        <w:tblStyle w:val="4"/>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Times New Roman"/>
              </w:rPr>
            </w:pPr>
            <w:r>
              <w:rPr>
                <w:rFonts w:hint="eastAsia" w:ascii="宋体" w:hAnsi="宋体" w:eastAsia="宋体" w:cs="Times New Roman"/>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eastAsia="宋体" w:cs="Times New Roman"/>
                <w:b/>
                <w:bCs/>
                <w:szCs w:val="21"/>
              </w:rPr>
            </w:pPr>
            <w:bookmarkStart w:id="0" w:name="_Hlk50454153"/>
            <w:bookmarkStart w:id="1" w:name="_Hlk51692819"/>
            <w:r>
              <w:rPr>
                <w:rFonts w:hint="eastAsia" w:ascii="宋体" w:hAnsi="宋体" w:eastAsia="宋体" w:cs="Times New Roman"/>
                <w:szCs w:val="21"/>
              </w:rPr>
              <w:t>近</w:t>
            </w:r>
            <w:r>
              <w:rPr>
                <w:rFonts w:ascii="宋体" w:hAnsi="宋体" w:eastAsia="宋体" w:cs="Times New Roman"/>
                <w:szCs w:val="21"/>
              </w:rPr>
              <w:t>3</w:t>
            </w:r>
            <w:r>
              <w:rPr>
                <w:rFonts w:hint="eastAsia" w:ascii="宋体" w:hAnsi="宋体" w:eastAsia="宋体" w:cs="Times New Roman"/>
                <w:szCs w:val="21"/>
              </w:rPr>
              <w:t>年内（201</w:t>
            </w:r>
            <w:r>
              <w:rPr>
                <w:rFonts w:ascii="宋体" w:hAnsi="宋体" w:eastAsia="宋体" w:cs="Times New Roman"/>
                <w:szCs w:val="21"/>
              </w:rPr>
              <w:t>9</w:t>
            </w:r>
            <w:r>
              <w:rPr>
                <w:rFonts w:hint="eastAsia" w:ascii="宋体" w:hAnsi="宋体" w:eastAsia="宋体" w:cs="Times New Roman"/>
                <w:szCs w:val="21"/>
              </w:rPr>
              <w:t>年</w:t>
            </w:r>
            <w:r>
              <w:rPr>
                <w:rFonts w:ascii="宋体" w:hAnsi="宋体" w:eastAsia="宋体" w:cs="Times New Roman"/>
                <w:szCs w:val="21"/>
              </w:rPr>
              <w:t>12月</w:t>
            </w:r>
            <w:r>
              <w:rPr>
                <w:rFonts w:hint="eastAsia" w:ascii="宋体" w:hAnsi="宋体" w:eastAsia="宋体" w:cs="Times New Roman"/>
                <w:szCs w:val="21"/>
              </w:rPr>
              <w:t>1日至今，以合同签订时间为准）投标人至少承担过一项客车租赁项目业绩。</w:t>
            </w:r>
            <w:bookmarkEnd w:id="0"/>
            <w:bookmarkEnd w:id="1"/>
          </w:p>
        </w:tc>
      </w:tr>
    </w:tbl>
    <w:p>
      <w:pPr>
        <w:jc w:val="center"/>
        <w:rPr>
          <w:rFonts w:ascii="宋体" w:hAnsi="宋体" w:eastAsia="宋体" w:cs="Times New Roman"/>
          <w:b/>
          <w:sz w:val="24"/>
        </w:rPr>
      </w:pPr>
    </w:p>
    <w:p>
      <w:pPr>
        <w:keepNext/>
        <w:keepLines/>
        <w:spacing w:before="120" w:after="260" w:line="300" w:lineRule="exact"/>
        <w:jc w:val="center"/>
        <w:outlineLvl w:val="2"/>
        <w:rPr>
          <w:rFonts w:hint="eastAsia"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3</w:t>
      </w:r>
      <w:r>
        <w:rPr>
          <w:rFonts w:hint="eastAsia" w:ascii="宋体" w:hAnsi="宋体" w:eastAsia="宋体" w:cs="Times New Roman"/>
          <w:b/>
          <w:kern w:val="0"/>
          <w:sz w:val="24"/>
          <w:szCs w:val="24"/>
        </w:rPr>
        <w:t xml:space="preserve"> 资格审查条件（信誉最低要求）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hint="eastAsia" w:ascii="宋体" w:hAnsi="宋体" w:eastAsia="宋体" w:cs="Times New Roman"/>
              </w:rPr>
            </w:pPr>
            <w:r>
              <w:rPr>
                <w:rFonts w:hint="eastAsia" w:ascii="宋体" w:hAnsi="宋体" w:eastAsia="宋体" w:cs="Times New Roman"/>
              </w:rPr>
              <w:t>投标人在近1年内(20</w:t>
            </w:r>
            <w:r>
              <w:rPr>
                <w:rFonts w:ascii="宋体" w:hAnsi="宋体" w:eastAsia="宋体" w:cs="Times New Roman"/>
              </w:rPr>
              <w:t>21</w:t>
            </w:r>
            <w:r>
              <w:rPr>
                <w:rFonts w:hint="eastAsia" w:ascii="宋体" w:hAnsi="宋体" w:eastAsia="宋体" w:cs="Times New Roman"/>
              </w:rPr>
              <w:t>年</w:t>
            </w:r>
            <w:r>
              <w:rPr>
                <w:rFonts w:ascii="宋体" w:hAnsi="宋体" w:eastAsia="宋体" w:cs="Times New Roman"/>
              </w:rPr>
              <w:t>12</w:t>
            </w:r>
            <w:r>
              <w:rPr>
                <w:rFonts w:hint="eastAsia" w:ascii="宋体" w:hAnsi="宋体" w:eastAsia="宋体" w:cs="Times New Roman"/>
              </w:rPr>
              <w:t>月1日至今)</w:t>
            </w:r>
            <w:r>
              <w:rPr>
                <w:rFonts w:hint="eastAsia" w:ascii="宋体" w:hAnsi="宋体" w:eastAsia="宋体" w:cs="Times New Roman"/>
                <w:szCs w:val="21"/>
              </w:rPr>
              <w:t>不曾在公路合同中违约而被驱逐或因投标人自身的原因而使公路合同被解除。</w:t>
            </w:r>
          </w:p>
        </w:tc>
      </w:tr>
    </w:tbl>
    <w:p>
      <w:pPr>
        <w:spacing w:line="360" w:lineRule="exact"/>
        <w:jc w:val="left"/>
        <w:rPr>
          <w:rFonts w:ascii="宋体" w:hAnsi="宋体" w:eastAsia="宋体" w:cs="Times New Roman"/>
          <w:b/>
          <w:sz w:val="24"/>
        </w:rPr>
      </w:pPr>
    </w:p>
    <w:p>
      <w:pPr>
        <w:spacing w:line="360" w:lineRule="exact"/>
        <w:jc w:val="left"/>
        <w:rPr>
          <w:rFonts w:ascii="宋体" w:hAnsi="宋体" w:eastAsia="宋体" w:cs="Times New Roman"/>
          <w:b/>
          <w:sz w:val="24"/>
        </w:rPr>
      </w:pPr>
    </w:p>
    <w:p>
      <w:pPr>
        <w:adjustRightInd w:val="0"/>
        <w:spacing w:line="400" w:lineRule="atLeast"/>
        <w:ind w:firstLine="367" w:firstLineChars="175"/>
        <w:rPr>
          <w:rFonts w:ascii="宋体" w:hAnsi="宋体" w:eastAsia="宋体" w:cs="Times New Roman"/>
          <w:sz w:val="24"/>
          <w:szCs w:val="24"/>
        </w:rPr>
      </w:pPr>
      <w:r>
        <w:rPr>
          <w:rFonts w:ascii="宋体" w:hAnsi="宋体" w:eastAsia="宋体" w:cs="Times New Roman"/>
        </w:rPr>
        <w:br w:type="page"/>
      </w:r>
      <w:r>
        <w:rPr>
          <w:rFonts w:hint="eastAsia" w:ascii="宋体" w:hAnsi="宋体" w:eastAsia="宋体" w:cs="Times New Roman"/>
          <w:sz w:val="24"/>
          <w:szCs w:val="24"/>
        </w:rPr>
        <w:t>附件2：评标办法</w:t>
      </w:r>
    </w:p>
    <w:p>
      <w:pPr>
        <w:rPr>
          <w:rFonts w:ascii="宋体" w:hAnsi="宋体" w:eastAsia="宋体" w:cs="Times New Roman"/>
          <w:bCs/>
          <w:kern w:val="0"/>
          <w:sz w:val="30"/>
          <w:szCs w:val="30"/>
        </w:rPr>
      </w:pPr>
      <w:r>
        <w:rPr>
          <w:rFonts w:hint="eastAsia" w:ascii="宋体" w:hAnsi="宋体" w:eastAsia="宋体" w:cs="Times New Roman"/>
        </w:rPr>
        <w:t>评标办法前附表</w:t>
      </w:r>
      <w:r>
        <w:rPr>
          <w:rFonts w:hint="eastAsia" w:ascii="宋体" w:hAnsi="宋体" w:eastAsia="宋体" w:cs="Times New Roman"/>
          <w:szCs w:val="21"/>
        </w:rPr>
        <w:t xml:space="preserve"> </w:t>
      </w:r>
    </w:p>
    <w:tbl>
      <w:tblPr>
        <w:tblStyle w:val="4"/>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本次评标采用综合评估法，评标委员会对满足招标文件实质性要求的投标文件，按照本章第2.2款规定的评分标准进行打分，并按得分由高到低顺序推荐1-</w:t>
            </w:r>
            <w:r>
              <w:rPr>
                <w:rFonts w:ascii="宋体" w:hAnsi="宋体" w:eastAsia="宋体" w:cs="Times New Roman"/>
                <w:szCs w:val="21"/>
              </w:rPr>
              <w:t>3</w:t>
            </w:r>
            <w:r>
              <w:rPr>
                <w:rFonts w:hint="eastAsia" w:ascii="宋体" w:hAnsi="宋体" w:eastAsia="宋体" w:cs="Times New Roman"/>
                <w:szCs w:val="21"/>
              </w:rPr>
              <w:t>名中标候选人；综合评分相等时，评标委员会依次按照以下优先顺序推荐中标候选人：</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（1）评标价低的投标人优先；</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（2）技术得分较高的投标人优先；</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（3）满足资格审查条件(业绩最低要求)的</w:t>
            </w:r>
            <w:r>
              <w:rPr>
                <w:rFonts w:hint="eastAsia" w:ascii="宋体" w:hAnsi="宋体" w:eastAsia="宋体" w:cs="宋体"/>
                <w:bCs/>
                <w:szCs w:val="21"/>
              </w:rPr>
              <w:t>业绩</w:t>
            </w:r>
            <w:r>
              <w:rPr>
                <w:rFonts w:hint="eastAsia" w:ascii="宋体" w:hAnsi="宋体" w:eastAsia="宋体" w:cs="Times New Roman"/>
                <w:szCs w:val="21"/>
              </w:rPr>
              <w:t xml:space="preserve">累计金额高的优先。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2.1.1</w:t>
            </w:r>
          </w:p>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2.1.</w:t>
            </w:r>
            <w:r>
              <w:rPr>
                <w:rFonts w:ascii="宋体" w:hAnsi="宋体" w:eastAsia="宋体" w:cs="Times New Roman"/>
                <w:szCs w:val="21"/>
              </w:rPr>
              <w:t>3</w:t>
            </w:r>
            <w:r>
              <w:rPr>
                <w:rFonts w:hint="eastAsia" w:ascii="宋体" w:hAnsi="宋体" w:eastAsia="宋体" w:cs="Times New Roman"/>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hint="eastAsia" w:ascii="宋体" w:hAnsi="宋体" w:eastAsia="宋体" w:cs="Times New Roman"/>
                <w:b/>
                <w:szCs w:val="21"/>
              </w:rPr>
            </w:pPr>
            <w:r>
              <w:rPr>
                <w:rFonts w:hint="eastAsia" w:ascii="宋体" w:hAnsi="宋体" w:eastAsia="宋体" w:cs="Times New Roman"/>
                <w:b/>
                <w:szCs w:val="21"/>
              </w:rPr>
              <w:t>第一个信封（商务及技术文件）评审标准:</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（1）投标文件按照招标文件规定的格式、内容填写，字迹清晰可辨：</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a．投标函按招标文件规定填报了项目名称、标段号、补遗书编号（如有）、服务期限、质量要求及安全目标；</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b．投标文件组成齐全完整，内容均按规定填写。</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（2）投标文件上法定代表人或其委托代理人的签字、投标人的单位章盖章齐全，符合招标文件规定。</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（3）投标人按照招标文件的规定提供了投标保证金：</w:t>
            </w:r>
          </w:p>
          <w:p>
            <w:pPr>
              <w:tabs>
                <w:tab w:val="left" w:pos="3060"/>
              </w:tabs>
              <w:spacing w:line="360" w:lineRule="exact"/>
              <w:ind w:firstLine="525" w:firstLineChars="250"/>
              <w:rPr>
                <w:rFonts w:hint="eastAsia" w:ascii="宋体" w:hAnsi="宋体" w:eastAsia="宋体" w:cs="Times New Roman"/>
                <w:szCs w:val="21"/>
              </w:rPr>
            </w:pPr>
            <w:r>
              <w:rPr>
                <w:rFonts w:hint="eastAsia" w:ascii="宋体" w:hAnsi="宋体" w:eastAsia="宋体" w:cs="Times New Roman"/>
                <w:szCs w:val="21"/>
              </w:rPr>
              <w:t>a.投标保证金金额符合招标文件规定的金额，且投标保证金有效期不少于投标有效期；</w:t>
            </w:r>
          </w:p>
          <w:p>
            <w:pPr>
              <w:tabs>
                <w:tab w:val="left" w:pos="3060"/>
              </w:tabs>
              <w:spacing w:line="360" w:lineRule="exact"/>
              <w:ind w:firstLine="525" w:firstLineChars="250"/>
              <w:rPr>
                <w:rFonts w:hint="eastAsia" w:ascii="宋体" w:hAnsi="宋体" w:eastAsia="宋体" w:cs="Times New Roman"/>
                <w:szCs w:val="21"/>
              </w:rPr>
            </w:pPr>
            <w:r>
              <w:rPr>
                <w:rFonts w:hint="eastAsia" w:ascii="宋体" w:hAnsi="宋体" w:eastAsia="宋体" w:cs="Times New Roman"/>
                <w:szCs w:val="21"/>
              </w:rPr>
              <w:t xml:space="preserve">b.若投标保证金采用现金或支票或电汇或转账形式提交，投标人应在递交投标文件截止时间之前，将投标保证金由投标人的基本账户转入招标人指定账户； </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c.若投标保证金采用银行保函形式提交，银行保函的格式、开具保函的银行均满足招标文件要求，且在递交投标文件截止时间之前向招标人提交了银行保函原件；</w:t>
            </w:r>
          </w:p>
          <w:p>
            <w:pPr>
              <w:tabs>
                <w:tab w:val="left" w:pos="3060"/>
              </w:tabs>
              <w:spacing w:line="320" w:lineRule="exact"/>
              <w:ind w:firstLine="420" w:firstLineChars="200"/>
              <w:rPr>
                <w:rFonts w:hint="eastAsia" w:ascii="宋体" w:hAnsi="宋体" w:eastAsia="宋体" w:cs="Times New Roman"/>
                <w:szCs w:val="21"/>
              </w:rPr>
            </w:pPr>
            <w:r>
              <w:rPr>
                <w:rFonts w:hint="eastAsia" w:ascii="宋体" w:hAnsi="宋体" w:eastAsia="宋体" w:cs="Times New Roman"/>
                <w:szCs w:val="21"/>
              </w:rPr>
              <w:t>d.若投标保证金采用保证保险形式提交，保证保险的格式、开具保证保险的公司均满足招标文件要求。</w:t>
            </w:r>
          </w:p>
          <w:p>
            <w:pPr>
              <w:tabs>
                <w:tab w:val="left" w:pos="3060"/>
              </w:tabs>
              <w:spacing w:line="360" w:lineRule="exact"/>
              <w:ind w:firstLine="525" w:firstLineChars="250"/>
              <w:rPr>
                <w:rFonts w:hint="eastAsia" w:ascii="宋体" w:hAnsi="宋体" w:eastAsia="宋体" w:cs="Times New Roman"/>
                <w:szCs w:val="21"/>
              </w:rPr>
            </w:pPr>
            <w:r>
              <w:rPr>
                <w:rFonts w:hint="eastAsia" w:ascii="宋体" w:hAnsi="宋体" w:eastAsia="宋体" w:cs="Times New Roman"/>
                <w:szCs w:val="21"/>
              </w:rPr>
              <w:t>（4）投标人法定代表人授权委托代理人签署投标文件的，须提交授权委托书，且授权人和被授权人均在授权书上签名。</w:t>
            </w:r>
          </w:p>
          <w:p>
            <w:pPr>
              <w:tabs>
                <w:tab w:val="left" w:pos="3060"/>
              </w:tabs>
              <w:spacing w:line="360" w:lineRule="exact"/>
              <w:ind w:firstLine="525" w:firstLineChars="250"/>
              <w:rPr>
                <w:rFonts w:hint="eastAsia" w:ascii="宋体" w:hAnsi="宋体" w:eastAsia="宋体" w:cs="Times New Roman"/>
                <w:szCs w:val="21"/>
              </w:rPr>
            </w:pPr>
            <w:r>
              <w:rPr>
                <w:rFonts w:hint="eastAsia" w:ascii="宋体" w:hAnsi="宋体" w:eastAsia="宋体" w:cs="Times New Roman"/>
                <w:szCs w:val="21"/>
              </w:rPr>
              <w:t>（5）投标人法定代表人亲自签署投标文件的，提供了法定代表人身份证明，且法定代表人在法定代表人身份证明上签名。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hint="eastAsia" w:ascii="宋体" w:hAnsi="宋体" w:eastAsia="宋体" w:cs="Times New Roman"/>
                <w:szCs w:val="21"/>
              </w:rPr>
            </w:pPr>
            <w:r>
              <w:rPr>
                <w:rFonts w:hint="eastAsia" w:ascii="宋体" w:hAnsi="宋体" w:eastAsia="宋体" w:cs="Times New Roman"/>
                <w:szCs w:val="21"/>
              </w:rPr>
              <w:t>（6）投标人未以联合体形式投标。</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（7）同一投标人未对同一标段提交两个以上不同的投标文件。</w:t>
            </w:r>
          </w:p>
          <w:p>
            <w:pPr>
              <w:tabs>
                <w:tab w:val="left" w:pos="3060"/>
              </w:tabs>
              <w:spacing w:line="360" w:lineRule="exact"/>
              <w:ind w:firstLine="525" w:firstLineChars="250"/>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8</w:t>
            </w:r>
            <w:r>
              <w:rPr>
                <w:rFonts w:hint="eastAsia" w:ascii="宋体" w:hAnsi="宋体" w:eastAsia="宋体" w:cs="Times New Roman"/>
                <w:szCs w:val="21"/>
              </w:rPr>
              <w:t>）投标文件中未出现有关投标报价的内容。</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9</w:t>
            </w:r>
            <w:r>
              <w:rPr>
                <w:rFonts w:hint="eastAsia" w:ascii="宋体" w:hAnsi="宋体" w:eastAsia="宋体" w:cs="Times New Roman"/>
                <w:szCs w:val="21"/>
              </w:rPr>
              <w:t>）投标文件载明的招标项目完成期限未超过招标文件规定的时限。</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10</w:t>
            </w:r>
            <w:r>
              <w:rPr>
                <w:rFonts w:hint="eastAsia" w:ascii="宋体" w:hAnsi="宋体" w:eastAsia="宋体" w:cs="Times New Roman"/>
                <w:szCs w:val="21"/>
              </w:rPr>
              <w:t>）投标人未对本项目进行分包。</w:t>
            </w:r>
          </w:p>
          <w:p>
            <w:pPr>
              <w:tabs>
                <w:tab w:val="left" w:pos="3060"/>
              </w:tabs>
              <w:spacing w:line="360" w:lineRule="exact"/>
              <w:ind w:firstLine="525" w:firstLineChars="250"/>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）投标文件对招标文件的实质性要求和条件作出响应。</w:t>
            </w:r>
          </w:p>
          <w:p>
            <w:pPr>
              <w:tabs>
                <w:tab w:val="left" w:pos="3060"/>
              </w:tabs>
              <w:spacing w:line="360" w:lineRule="exact"/>
              <w:ind w:firstLine="525" w:firstLineChars="250"/>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）权利义务符合招标文件规定：</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a.投标人应接受招标文件规定的风险划分原则，未提出新的风险划分办法；</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b.投标人未增加发包人的责任范围，或减少投标人义务；</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c.投标人未提出不同的支付办法；</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d.投标人对合同纠纷、事故处理办法未提出异议；</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e.投标人在投标活动中无欺诈行为；</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f.投标人未对合同条款有重要保留。</w:t>
            </w:r>
          </w:p>
          <w:p>
            <w:pPr>
              <w:tabs>
                <w:tab w:val="left" w:pos="3060"/>
              </w:tabs>
              <w:spacing w:line="320" w:lineRule="exact"/>
              <w:rPr>
                <w:rFonts w:hint="eastAsia" w:ascii="宋体" w:hAnsi="宋体" w:eastAsia="宋体" w:cs="Times New Roman"/>
                <w:b/>
                <w:szCs w:val="21"/>
              </w:rPr>
            </w:pPr>
            <w:r>
              <w:rPr>
                <w:rFonts w:hint="eastAsia" w:ascii="宋体" w:hAnsi="宋体" w:eastAsia="宋体" w:cs="Times New Roman"/>
                <w:b/>
                <w:szCs w:val="21"/>
              </w:rPr>
              <w:t>第二个信封（报价文件）评审标准：</w:t>
            </w:r>
          </w:p>
          <w:p>
            <w:pPr>
              <w:tabs>
                <w:tab w:val="left" w:pos="3060"/>
              </w:tabs>
              <w:spacing w:line="36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（1）投标文件按照招标文件规定的格式、内容填写，字迹清晰可辨：</w:t>
            </w:r>
          </w:p>
          <w:p>
            <w:pPr>
              <w:tabs>
                <w:tab w:val="left" w:pos="3060"/>
              </w:tabs>
              <w:spacing w:line="36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a.投标函按招标文件规定填报了项目名称、标段号、补遗书编号（如有）、投标价（包括大写金额和小写金额）；</w:t>
            </w:r>
          </w:p>
          <w:p>
            <w:pPr>
              <w:tabs>
                <w:tab w:val="left" w:pos="3060"/>
              </w:tabs>
              <w:spacing w:line="36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b．已</w:t>
            </w:r>
            <w:r>
              <w:rPr>
                <w:rFonts w:hint="eastAsia" w:ascii="宋体" w:hAnsi="宋体" w:eastAsia="宋体" w:cs="Times New Roman"/>
                <w:szCs w:val="21"/>
              </w:rPr>
              <w:t>标价</w:t>
            </w:r>
            <w:r>
              <w:rPr>
                <w:rFonts w:hint="eastAsia" w:ascii="宋体" w:hAnsi="宋体" w:eastAsia="宋体" w:cs="Times New Roman"/>
                <w:bCs/>
                <w:szCs w:val="21"/>
              </w:rPr>
              <w:t>清单说明文字与招标文件规定一致，未进行修改和删减；</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c．投标文件组成齐全完整，内容均按规定填写。</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bCs/>
                <w:szCs w:val="21"/>
              </w:rPr>
              <w:t>（2）投标</w:t>
            </w:r>
            <w:r>
              <w:rPr>
                <w:rFonts w:hint="eastAsia" w:ascii="宋体" w:hAnsi="宋体" w:eastAsia="宋体" w:cs="Times New Roman"/>
                <w:szCs w:val="21"/>
              </w:rPr>
              <w:t>文件</w:t>
            </w:r>
            <w:r>
              <w:rPr>
                <w:rFonts w:hint="eastAsia" w:ascii="宋体" w:hAnsi="宋体" w:eastAsia="宋体" w:cs="Times New Roman"/>
                <w:bCs/>
                <w:szCs w:val="21"/>
              </w:rPr>
              <w:t>上法定代表人或其授权代理人的签字、投标人的单位章盖章齐全，符合招标文件规定。</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（3）投标报价中的报价未超过招标文件设定的最高投标限价。</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（4）投标报价中报价的大写金额能够确定具体数值。</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（5）同一投标人未对同一标段提交两个以上不同的投标报价。</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（6）</w:t>
            </w:r>
            <w:r>
              <w:rPr>
                <w:rFonts w:hint="eastAsia" w:ascii="宋体" w:hAnsi="宋体" w:eastAsia="宋体" w:cs="Times New Roman"/>
                <w:bCs/>
                <w:szCs w:val="21"/>
              </w:rPr>
              <w:t>已</w:t>
            </w:r>
            <w:r>
              <w:rPr>
                <w:rFonts w:hint="eastAsia" w:ascii="宋体" w:hAnsi="宋体" w:eastAsia="宋体" w:cs="Times New Roman"/>
                <w:szCs w:val="21"/>
              </w:rPr>
              <w:t>标价清单中的投标报价和投标函大写金额报价一致。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（1）投标人具备有效的营业执照、组织机构代码证（三证合一或五证合一的除外）、经营许可证和基本账户开户许可证或基本存款账户信息。</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（2）投标人的资质等级符合招标文件规定。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（3）投标人的业绩符合招标文件规定。</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4</w:t>
            </w:r>
            <w:r>
              <w:rPr>
                <w:rFonts w:hint="eastAsia" w:ascii="宋体" w:hAnsi="宋体" w:eastAsia="宋体" w:cs="Times New Roman"/>
                <w:szCs w:val="21"/>
              </w:rPr>
              <w:t>）投标人的信誉符合招标文件规定。</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业 </w:t>
            </w:r>
            <w:r>
              <w:rPr>
                <w:rFonts w:ascii="宋体" w:hAnsi="宋体" w:eastAsia="宋体" w:cs="Times New Roman"/>
                <w:szCs w:val="21"/>
              </w:rPr>
              <w:t xml:space="preserve">   </w:t>
            </w:r>
            <w:r>
              <w:rPr>
                <w:rFonts w:hint="eastAsia" w:ascii="宋体" w:hAnsi="宋体" w:eastAsia="宋体" w:cs="Times New Roman"/>
                <w:szCs w:val="21"/>
              </w:rPr>
              <w:t xml:space="preserve">绩：       </w:t>
            </w:r>
            <w:r>
              <w:rPr>
                <w:rFonts w:ascii="宋体" w:hAnsi="宋体" w:eastAsia="宋体" w:cs="Times New Roman"/>
                <w:szCs w:val="21"/>
              </w:rPr>
              <w:t>10</w:t>
            </w:r>
            <w:r>
              <w:rPr>
                <w:rFonts w:hint="eastAsia" w:ascii="宋体" w:hAnsi="宋体" w:eastAsia="宋体" w:cs="Times New Roman"/>
                <w:szCs w:val="21"/>
              </w:rPr>
              <w:t>分</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服务方案：       </w:t>
            </w:r>
            <w:r>
              <w:rPr>
                <w:rFonts w:ascii="宋体" w:hAnsi="宋体" w:eastAsia="宋体" w:cs="Times New Roman"/>
                <w:szCs w:val="21"/>
              </w:rPr>
              <w:t>80</w:t>
            </w:r>
            <w:r>
              <w:rPr>
                <w:rFonts w:hint="eastAsia" w:ascii="宋体" w:hAnsi="宋体" w:eastAsia="宋体" w:cs="Times New Roman"/>
                <w:szCs w:val="21"/>
              </w:rPr>
              <w:t>分</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评 标 价：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szCs w:val="21"/>
              </w:rPr>
            </w:pPr>
            <w:r>
              <w:rPr>
                <w:rFonts w:hint="eastAsia" w:ascii="宋体" w:hAnsi="宋体" w:eastAsia="宋体" w:cs="Times New Roman"/>
                <w:szCs w:val="21"/>
              </w:rPr>
              <w:t xml:space="preserve">评标基准价的计算： </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(1)评标价的确定：</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评标价=投标函文字报价</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(2)评标价平均值的计算：</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(3)评标基准价的确定：</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评标价平均值直接作为评标基准价。</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评标基准价保留小数点后两位，小数点后第三位四舍五入。</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eastAsia="宋体" w:cs="Times New Roman"/>
              </w:rPr>
            </w:pPr>
            <w:r>
              <w:rPr>
                <w:rFonts w:hint="eastAsia" w:ascii="宋体" w:hAnsi="宋体" w:eastAsia="宋体" w:cs="Times New Roman"/>
              </w:rPr>
              <w:t>在评标过程中，评标委员会应对以下信息进行查询：</w:t>
            </w:r>
          </w:p>
          <w:p>
            <w:pPr>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评标委员会评标时在“信用中国网站（http://www.creditchina.gov.cn/)”进行查询，若投标人存在被列入“失信被执行人名单、异常经营名录（或经营异常名录信息查询）、税收违法黑名单（或重大税收违法失信主体）、政府采购严重违法失信行为记录名单”情形的（均不含分公司），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.6.2</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电子招标串通投标</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eastAsia="宋体" w:cs="Times New Roman"/>
              </w:rPr>
            </w:pPr>
            <w:r>
              <w:rPr>
                <w:rFonts w:hint="eastAsia" w:ascii="宋体" w:hAnsi="宋体" w:eastAsia="宋体" w:cs="Times New Roman"/>
              </w:rPr>
              <w:t>（2）有下列情形之一的，视为投标人相互串通投标增加：</w:t>
            </w:r>
          </w:p>
          <w:p>
            <w:pPr>
              <w:adjustRightInd w:val="0"/>
              <w:snapToGrid w:val="0"/>
              <w:spacing w:line="300" w:lineRule="exact"/>
              <w:rPr>
                <w:rFonts w:hint="eastAsia" w:ascii="宋体" w:hAnsi="宋体" w:eastAsia="宋体" w:cs="Times New Roman"/>
              </w:rPr>
            </w:pPr>
            <w:r>
              <w:rPr>
                <w:rFonts w:hint="eastAsia" w:ascii="宋体" w:hAnsi="宋体" w:eastAsia="宋体" w:cs="Times New Roman"/>
              </w:rPr>
              <w:t>g</w:t>
            </w:r>
            <w:r>
              <w:rPr>
                <w:rFonts w:ascii="宋体" w:hAnsi="宋体" w:eastAsia="宋体" w:cs="Times New Roman"/>
              </w:rPr>
              <w:t>.</w:t>
            </w:r>
            <w:r>
              <w:rPr>
                <w:rFonts w:hint="eastAsia" w:ascii="宋体" w:hAnsi="宋体" w:eastAsia="宋体" w:cs="Times New Roman"/>
              </w:rPr>
              <w:t>不同投标人的电子投标文件I</w:t>
            </w:r>
            <w:r>
              <w:rPr>
                <w:rFonts w:ascii="宋体" w:hAnsi="宋体" w:eastAsia="宋体" w:cs="Times New Roman"/>
              </w:rPr>
              <w:t>P</w:t>
            </w:r>
            <w:r>
              <w:rPr>
                <w:rFonts w:hint="eastAsia" w:ascii="宋体" w:hAnsi="宋体" w:eastAsia="宋体" w:cs="Times New Roman"/>
              </w:rPr>
              <w:t>、M</w:t>
            </w:r>
            <w:r>
              <w:rPr>
                <w:rFonts w:ascii="宋体" w:hAnsi="宋体" w:eastAsia="宋体" w:cs="Times New Roman"/>
              </w:rPr>
              <w:t>AC</w:t>
            </w:r>
            <w:r>
              <w:rPr>
                <w:rFonts w:hint="eastAsia" w:ascii="宋体" w:hAnsi="宋体" w:eastAsia="宋体" w:cs="Times New Roman"/>
              </w:rPr>
              <w:t>地址相同。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需要补充的其他内容：无</w:t>
            </w:r>
          </w:p>
        </w:tc>
      </w:tr>
    </w:tbl>
    <w:p>
      <w:pPr>
        <w:jc w:val="left"/>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rPr>
        <w:t>具体评分标准如下：</w:t>
      </w:r>
    </w:p>
    <w:tbl>
      <w:tblPr>
        <w:tblStyle w:val="4"/>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154"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评审项目</w:t>
            </w:r>
          </w:p>
        </w:tc>
        <w:tc>
          <w:tcPr>
            <w:tcW w:w="843" w:type="dxa"/>
            <w:vAlign w:val="center"/>
          </w:tcPr>
          <w:p>
            <w:pPr>
              <w:jc w:val="center"/>
              <w:rPr>
                <w:rFonts w:ascii="宋体" w:hAnsi="宋体" w:eastAsia="宋体" w:cs="Times New Roman"/>
                <w:szCs w:val="21"/>
              </w:rPr>
            </w:pPr>
            <w:r>
              <w:rPr>
                <w:rFonts w:hint="eastAsia" w:ascii="宋体" w:hAnsi="宋体" w:eastAsia="宋体" w:cs="Times New Roman"/>
                <w:szCs w:val="21"/>
              </w:rPr>
              <w:t>标准分</w:t>
            </w:r>
          </w:p>
        </w:tc>
        <w:tc>
          <w:tcPr>
            <w:tcW w:w="5978" w:type="dxa"/>
            <w:vAlign w:val="center"/>
          </w:tcPr>
          <w:p>
            <w:pPr>
              <w:jc w:val="center"/>
              <w:rPr>
                <w:rFonts w:ascii="宋体" w:hAnsi="宋体" w:eastAsia="宋体" w:cs="Times New Roman"/>
                <w:szCs w:val="21"/>
              </w:rPr>
            </w:pPr>
            <w:r>
              <w:rPr>
                <w:rFonts w:hint="eastAsia" w:ascii="宋体" w:hAnsi="宋体" w:eastAsia="宋体" w:cs="Times New Roman"/>
                <w:szCs w:val="21"/>
              </w:rPr>
              <w:t>评</w:t>
            </w:r>
            <w:r>
              <w:rPr>
                <w:rFonts w:ascii="宋体" w:hAnsi="宋体" w:eastAsia="宋体" w:cs="Times New Roman"/>
                <w:szCs w:val="21"/>
              </w:rPr>
              <w:t xml:space="preserve">     </w:t>
            </w:r>
            <w:r>
              <w:rPr>
                <w:rFonts w:hint="eastAsia" w:ascii="宋体" w:hAnsi="宋体" w:eastAsia="宋体" w:cs="Times New Roman"/>
                <w:szCs w:val="21"/>
              </w:rPr>
              <w:t>分</w:t>
            </w:r>
            <w:r>
              <w:rPr>
                <w:rFonts w:ascii="宋体" w:hAnsi="宋体" w:eastAsia="宋体" w:cs="Times New Roman"/>
                <w:szCs w:val="21"/>
              </w:rPr>
              <w:t xml:space="preserve">     </w:t>
            </w:r>
            <w:r>
              <w:rPr>
                <w:rFonts w:hint="eastAsia" w:ascii="宋体" w:hAnsi="宋体" w:eastAsia="宋体" w:cs="Times New Roman"/>
                <w:szCs w:val="21"/>
              </w:rPr>
              <w:t>标</w:t>
            </w:r>
            <w:r>
              <w:rPr>
                <w:rFonts w:ascii="宋体" w:hAnsi="宋体" w:eastAsia="宋体" w:cs="Times New Roman"/>
                <w:szCs w:val="21"/>
              </w:rPr>
              <w:t xml:space="preserve">     </w:t>
            </w:r>
            <w:r>
              <w:rPr>
                <w:rFonts w:hint="eastAsia" w:ascii="宋体" w:hAnsi="宋体" w:eastAsia="宋体" w:cs="Times New Roman"/>
                <w:szCs w:val="21"/>
              </w:rPr>
              <w:t>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Align w:val="center"/>
          </w:tcPr>
          <w:p>
            <w:pPr>
              <w:snapToGrid w:val="0"/>
              <w:jc w:val="center"/>
              <w:rPr>
                <w:rFonts w:ascii="宋体" w:hAnsi="宋体" w:eastAsia="宋体" w:cs="宋体"/>
                <w:bCs/>
                <w:w w:val="90"/>
                <w:szCs w:val="21"/>
              </w:rPr>
            </w:pPr>
            <w:r>
              <w:rPr>
                <w:rFonts w:ascii="宋体" w:hAnsi="宋体" w:eastAsia="宋体" w:cs="宋体"/>
                <w:bCs/>
                <w:w w:val="90"/>
                <w:szCs w:val="21"/>
              </w:rPr>
              <w:t>1</w:t>
            </w:r>
          </w:p>
        </w:tc>
        <w:tc>
          <w:tcPr>
            <w:tcW w:w="2154" w:type="dxa"/>
            <w:gridSpan w:val="2"/>
            <w:vAlign w:val="center"/>
          </w:tcPr>
          <w:p>
            <w:pPr>
              <w:snapToGrid w:val="0"/>
              <w:jc w:val="center"/>
              <w:rPr>
                <w:rFonts w:ascii="宋体" w:hAnsi="宋体" w:eastAsia="宋体" w:cs="宋体"/>
                <w:bCs/>
                <w:szCs w:val="21"/>
              </w:rPr>
            </w:pPr>
            <w:r>
              <w:rPr>
                <w:rFonts w:hint="eastAsia" w:ascii="宋体" w:hAnsi="宋体" w:eastAsia="宋体" w:cs="宋体"/>
                <w:bCs/>
                <w:szCs w:val="21"/>
              </w:rPr>
              <w:t>业绩</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满足资格审查条件(业绩最低要求)得6分；</w:t>
            </w:r>
          </w:p>
          <w:p>
            <w:pPr>
              <w:snapToGrid w:val="0"/>
              <w:rPr>
                <w:rFonts w:ascii="宋体" w:hAnsi="宋体" w:eastAsia="宋体" w:cs="宋体"/>
                <w:bCs/>
                <w:szCs w:val="21"/>
              </w:rPr>
            </w:pPr>
            <w:r>
              <w:rPr>
                <w:rFonts w:hint="eastAsia" w:ascii="宋体" w:hAnsi="宋体" w:eastAsia="宋体" w:cs="Times New Roman"/>
                <w:szCs w:val="21"/>
              </w:rPr>
              <w:t>每增加一项满足资格审查条件(业绩最低要求)的</w:t>
            </w:r>
            <w:r>
              <w:rPr>
                <w:rFonts w:hint="eastAsia" w:ascii="宋体" w:hAnsi="宋体" w:eastAsia="宋体" w:cs="宋体"/>
                <w:bCs/>
                <w:szCs w:val="21"/>
              </w:rPr>
              <w:t>业绩加</w:t>
            </w:r>
            <w:r>
              <w:rPr>
                <w:rFonts w:ascii="宋体" w:hAnsi="宋体" w:eastAsia="宋体" w:cs="宋体"/>
                <w:bCs/>
                <w:szCs w:val="21"/>
              </w:rPr>
              <w:t>2</w:t>
            </w:r>
            <w:r>
              <w:rPr>
                <w:rFonts w:hint="eastAsia" w:ascii="宋体" w:hAnsi="宋体" w:eastAsia="宋体" w:cs="宋体"/>
                <w:bCs/>
                <w:szCs w:val="21"/>
              </w:rPr>
              <w:t>分，最高加</w:t>
            </w:r>
            <w:r>
              <w:rPr>
                <w:rFonts w:ascii="宋体" w:hAnsi="宋体" w:eastAsia="宋体" w:cs="宋体"/>
                <w:bCs/>
                <w:szCs w:val="21"/>
              </w:rPr>
              <w:t>4</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307" w:hRule="exact"/>
          <w:jc w:val="center"/>
        </w:trPr>
        <w:tc>
          <w:tcPr>
            <w:tcW w:w="735" w:type="dxa"/>
            <w:vMerge w:val="restart"/>
            <w:tcBorders>
              <w:right w:val="single" w:color="auto" w:sz="2" w:space="0"/>
            </w:tcBorders>
            <w:vAlign w:val="center"/>
          </w:tcPr>
          <w:p>
            <w:pPr>
              <w:snapToGrid w:val="0"/>
              <w:jc w:val="center"/>
              <w:rPr>
                <w:rFonts w:ascii="宋体" w:hAnsi="宋体" w:eastAsia="宋体" w:cs="宋体"/>
                <w:bCs/>
                <w:w w:val="90"/>
                <w:szCs w:val="21"/>
              </w:rPr>
            </w:pPr>
            <w:r>
              <w:rPr>
                <w:rFonts w:ascii="宋体" w:hAnsi="宋体" w:eastAsia="宋体" w:cs="宋体"/>
                <w:bCs/>
                <w:w w:val="90"/>
                <w:szCs w:val="21"/>
              </w:rPr>
              <w:t>2</w:t>
            </w:r>
          </w:p>
        </w:tc>
        <w:tc>
          <w:tcPr>
            <w:tcW w:w="1030" w:type="dxa"/>
            <w:vMerge w:val="restart"/>
            <w:tcBorders>
              <w:left w:val="single" w:color="auto" w:sz="2" w:space="0"/>
              <w:right w:val="single" w:color="auto" w:sz="2" w:space="0"/>
            </w:tcBorders>
            <w:vAlign w:val="center"/>
          </w:tcPr>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服务方案</w:t>
            </w:r>
          </w:p>
          <w:p>
            <w:pPr>
              <w:snapToGrid w:val="0"/>
              <w:spacing w:before="156" w:beforeLines="50" w:after="156" w:afterLines="50"/>
              <w:jc w:val="center"/>
              <w:rPr>
                <w:rFonts w:hint="eastAsia"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80</w:t>
            </w:r>
            <w:r>
              <w:rPr>
                <w:rFonts w:hint="eastAsia" w:ascii="宋体" w:hAnsi="宋体" w:eastAsia="宋体" w:cs="宋体"/>
                <w:bCs/>
                <w:szCs w:val="21"/>
              </w:rPr>
              <w:t>分）</w:t>
            </w:r>
          </w:p>
        </w:tc>
        <w:tc>
          <w:tcPr>
            <w:tcW w:w="1124" w:type="dxa"/>
            <w:tcBorders>
              <w:left w:val="single" w:color="auto" w:sz="2" w:space="0"/>
            </w:tcBorders>
            <w:vAlign w:val="center"/>
          </w:tcPr>
          <w:p>
            <w:pPr>
              <w:snapToGrid w:val="0"/>
              <w:spacing w:before="156" w:beforeLines="50" w:after="156" w:afterLines="50"/>
              <w:jc w:val="center"/>
              <w:rPr>
                <w:rFonts w:hint="eastAsia" w:ascii="宋体" w:hAnsi="宋体" w:eastAsia="宋体" w:cs="宋体"/>
                <w:bCs/>
                <w:szCs w:val="21"/>
              </w:rPr>
            </w:pPr>
            <w:r>
              <w:rPr>
                <w:rFonts w:hint="eastAsia" w:ascii="宋体" w:hAnsi="宋体" w:eastAsia="宋体" w:cs="宋体"/>
                <w:bCs/>
                <w:szCs w:val="21"/>
              </w:rPr>
              <w:t>组织机构及车辆配备</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20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根据投标人项目实施团队的组织机构和车辆配备优劣进行比较打分：</w:t>
            </w:r>
          </w:p>
          <w:p>
            <w:pPr>
              <w:snapToGrid w:val="0"/>
              <w:rPr>
                <w:rFonts w:hint="eastAsia" w:ascii="宋体" w:hAnsi="宋体" w:eastAsia="宋体" w:cs="宋体"/>
                <w:bCs/>
                <w:szCs w:val="21"/>
              </w:rPr>
            </w:pPr>
            <w:r>
              <w:rPr>
                <w:rFonts w:hint="eastAsia" w:ascii="宋体" w:hAnsi="宋体" w:eastAsia="宋体" w:cs="宋体"/>
                <w:bCs/>
                <w:szCs w:val="21"/>
              </w:rPr>
              <w:t>第一档，组织管理机构完善、合理，车辆性能先进，车辆购置年限在</w:t>
            </w:r>
            <w:r>
              <w:rPr>
                <w:rFonts w:ascii="宋体" w:hAnsi="宋体" w:eastAsia="宋体" w:cs="宋体"/>
                <w:bCs/>
                <w:szCs w:val="21"/>
              </w:rPr>
              <w:t>2</w:t>
            </w:r>
            <w:r>
              <w:rPr>
                <w:rFonts w:hint="eastAsia" w:ascii="宋体" w:hAnsi="宋体" w:eastAsia="宋体" w:cs="宋体"/>
                <w:bCs/>
                <w:szCs w:val="21"/>
              </w:rPr>
              <w:t>年以内的（20</w:t>
            </w:r>
            <w:r>
              <w:rPr>
                <w:rFonts w:ascii="宋体" w:hAnsi="宋体" w:eastAsia="宋体" w:cs="宋体"/>
                <w:bCs/>
                <w:szCs w:val="21"/>
              </w:rPr>
              <w:t>20</w:t>
            </w:r>
            <w:r>
              <w:rPr>
                <w:rFonts w:hint="eastAsia" w:ascii="宋体" w:hAnsi="宋体" w:eastAsia="宋体" w:cs="宋体"/>
                <w:bCs/>
                <w:szCs w:val="21"/>
              </w:rPr>
              <w:t>年12月1日至今，以车辆机动车行驶证注册日期为准），得</w:t>
            </w:r>
            <w:r>
              <w:rPr>
                <w:rFonts w:ascii="宋体" w:hAnsi="宋体" w:eastAsia="宋体" w:cs="宋体"/>
                <w:bCs/>
                <w:szCs w:val="21"/>
              </w:rPr>
              <w:t>16</w:t>
            </w:r>
            <w:r>
              <w:rPr>
                <w:rFonts w:hint="eastAsia" w:ascii="宋体" w:hAnsi="宋体" w:eastAsia="宋体" w:cs="宋体"/>
                <w:bCs/>
                <w:szCs w:val="21"/>
              </w:rPr>
              <w:t>-</w:t>
            </w:r>
            <w:r>
              <w:rPr>
                <w:rFonts w:ascii="宋体" w:hAnsi="宋体" w:eastAsia="宋体" w:cs="宋体"/>
                <w:bCs/>
                <w:szCs w:val="21"/>
              </w:rPr>
              <w:t>20</w:t>
            </w:r>
            <w:r>
              <w:rPr>
                <w:rFonts w:hint="eastAsia" w:ascii="宋体" w:hAnsi="宋体" w:eastAsia="宋体" w:cs="宋体"/>
                <w:bCs/>
                <w:szCs w:val="21"/>
              </w:rPr>
              <w:t>分；</w:t>
            </w:r>
          </w:p>
          <w:p>
            <w:pPr>
              <w:snapToGrid w:val="0"/>
              <w:rPr>
                <w:rFonts w:hint="eastAsia" w:ascii="宋体" w:hAnsi="宋体" w:eastAsia="宋体" w:cs="宋体"/>
                <w:bCs/>
                <w:szCs w:val="21"/>
              </w:rPr>
            </w:pPr>
            <w:r>
              <w:rPr>
                <w:rFonts w:hint="eastAsia" w:ascii="宋体" w:hAnsi="宋体" w:eastAsia="宋体" w:cs="宋体"/>
                <w:bCs/>
                <w:szCs w:val="21"/>
              </w:rPr>
              <w:t>第二档，组织管理机构健全、合理，车辆性能一般，车辆购置年限在</w:t>
            </w:r>
            <w:r>
              <w:rPr>
                <w:rFonts w:ascii="宋体" w:hAnsi="宋体" w:eastAsia="宋体" w:cs="宋体"/>
                <w:bCs/>
                <w:szCs w:val="21"/>
              </w:rPr>
              <w:t>5</w:t>
            </w:r>
            <w:r>
              <w:rPr>
                <w:rFonts w:hint="eastAsia" w:ascii="宋体" w:hAnsi="宋体" w:eastAsia="宋体" w:cs="宋体"/>
                <w:bCs/>
                <w:szCs w:val="21"/>
              </w:rPr>
              <w:t>年以内的（201</w:t>
            </w:r>
            <w:r>
              <w:rPr>
                <w:rFonts w:ascii="宋体" w:hAnsi="宋体" w:eastAsia="宋体" w:cs="宋体"/>
                <w:bCs/>
                <w:szCs w:val="21"/>
              </w:rPr>
              <w:t>7</w:t>
            </w:r>
            <w:r>
              <w:rPr>
                <w:rFonts w:hint="eastAsia" w:ascii="宋体" w:hAnsi="宋体" w:eastAsia="宋体" w:cs="宋体"/>
                <w:bCs/>
                <w:szCs w:val="21"/>
              </w:rPr>
              <w:t>年12月1日至今，以车辆机动车行驶证注册日期为准），得</w:t>
            </w:r>
            <w:r>
              <w:rPr>
                <w:rFonts w:ascii="宋体" w:hAnsi="宋体" w:eastAsia="宋体" w:cs="宋体"/>
                <w:bCs/>
                <w:szCs w:val="21"/>
              </w:rPr>
              <w:t>12</w:t>
            </w:r>
            <w:r>
              <w:rPr>
                <w:rFonts w:hint="eastAsia" w:ascii="宋体" w:hAnsi="宋体" w:eastAsia="宋体" w:cs="宋体"/>
                <w:bCs/>
                <w:szCs w:val="21"/>
              </w:rPr>
              <w:t>-</w:t>
            </w:r>
            <w:r>
              <w:rPr>
                <w:rFonts w:ascii="宋体" w:hAnsi="宋体" w:eastAsia="宋体" w:cs="宋体"/>
                <w:bCs/>
                <w:szCs w:val="21"/>
              </w:rPr>
              <w:t>16</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第三档，组织管理机构和人员构成基本合理，车辆性能落后，车辆购置年限在</w:t>
            </w:r>
            <w:r>
              <w:rPr>
                <w:rFonts w:ascii="宋体" w:hAnsi="宋体" w:eastAsia="宋体" w:cs="宋体"/>
                <w:bCs/>
                <w:szCs w:val="21"/>
              </w:rPr>
              <w:t>5</w:t>
            </w:r>
            <w:r>
              <w:rPr>
                <w:rFonts w:hint="eastAsia" w:ascii="宋体" w:hAnsi="宋体" w:eastAsia="宋体" w:cs="宋体"/>
                <w:bCs/>
                <w:szCs w:val="21"/>
              </w:rPr>
              <w:t>年以外的（201</w:t>
            </w:r>
            <w:r>
              <w:rPr>
                <w:rFonts w:ascii="宋体" w:hAnsi="宋体" w:eastAsia="宋体" w:cs="宋体"/>
                <w:bCs/>
                <w:szCs w:val="21"/>
              </w:rPr>
              <w:t>7</w:t>
            </w:r>
            <w:r>
              <w:rPr>
                <w:rFonts w:hint="eastAsia" w:ascii="宋体" w:hAnsi="宋体" w:eastAsia="宋体" w:cs="宋体"/>
                <w:bCs/>
                <w:szCs w:val="21"/>
              </w:rPr>
              <w:t>年1</w:t>
            </w:r>
            <w:r>
              <w:rPr>
                <w:rFonts w:ascii="宋体" w:hAnsi="宋体" w:eastAsia="宋体" w:cs="宋体"/>
                <w:bCs/>
                <w:szCs w:val="21"/>
              </w:rPr>
              <w:t>1</w:t>
            </w:r>
            <w:r>
              <w:rPr>
                <w:rFonts w:hint="eastAsia" w:ascii="宋体" w:hAnsi="宋体" w:eastAsia="宋体" w:cs="宋体"/>
                <w:bCs/>
                <w:szCs w:val="21"/>
              </w:rPr>
              <w:t>月3</w:t>
            </w:r>
            <w:r>
              <w:rPr>
                <w:rFonts w:hint="eastAsia" w:ascii="宋体" w:hAnsi="宋体" w:eastAsia="宋体" w:cs="宋体"/>
                <w:bCs/>
                <w:szCs w:val="21"/>
                <w:lang w:val="en-US" w:eastAsia="zh-CN"/>
              </w:rPr>
              <w:t>0</w:t>
            </w:r>
            <w:bookmarkStart w:id="2" w:name="_GoBack"/>
            <w:bookmarkEnd w:id="2"/>
            <w:r>
              <w:rPr>
                <w:rFonts w:hint="eastAsia" w:ascii="宋体" w:hAnsi="宋体" w:eastAsia="宋体" w:cs="宋体"/>
                <w:bCs/>
                <w:szCs w:val="21"/>
              </w:rPr>
              <w:t>日及之前，以车辆机动车行驶证注册日期为准），得</w:t>
            </w:r>
            <w:r>
              <w:rPr>
                <w:rFonts w:ascii="宋体" w:hAnsi="宋体" w:eastAsia="宋体" w:cs="宋体"/>
                <w:bCs/>
                <w:szCs w:val="21"/>
              </w:rPr>
              <w:t>12</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实施计划及服务方案</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25</w:t>
            </w:r>
            <w:r>
              <w:rPr>
                <w:rFonts w:hint="eastAsia" w:ascii="宋体" w:hAnsi="宋体" w:eastAsia="宋体" w:cs="宋体"/>
                <w:bCs/>
                <w:szCs w:val="21"/>
              </w:rPr>
              <w:t>分</w:t>
            </w:r>
          </w:p>
        </w:tc>
        <w:tc>
          <w:tcPr>
            <w:tcW w:w="5978" w:type="dxa"/>
            <w:vAlign w:val="center"/>
          </w:tcPr>
          <w:p>
            <w:pPr>
              <w:snapToGrid w:val="0"/>
              <w:rPr>
                <w:rFonts w:hint="eastAsia" w:ascii="宋体" w:hAnsi="宋体" w:eastAsia="宋体" w:cs="宋体"/>
                <w:bCs/>
                <w:szCs w:val="21"/>
              </w:rPr>
            </w:pPr>
            <w:r>
              <w:rPr>
                <w:rFonts w:hint="eastAsia" w:ascii="宋体" w:hAnsi="宋体" w:eastAsia="宋体" w:cs="宋体"/>
                <w:bCs/>
                <w:szCs w:val="21"/>
              </w:rPr>
              <w:t>第一档，实施计划科学合理，总体方案完整、内容齐全，有针对性，得20-25分；</w:t>
            </w:r>
          </w:p>
          <w:p>
            <w:pPr>
              <w:snapToGrid w:val="0"/>
              <w:rPr>
                <w:rFonts w:hint="eastAsia" w:ascii="宋体" w:hAnsi="宋体" w:eastAsia="宋体" w:cs="宋体"/>
                <w:bCs/>
                <w:szCs w:val="21"/>
              </w:rPr>
            </w:pPr>
            <w:r>
              <w:rPr>
                <w:rFonts w:hint="eastAsia" w:ascii="宋体" w:hAnsi="宋体" w:eastAsia="宋体" w:cs="宋体"/>
                <w:bCs/>
                <w:szCs w:val="21"/>
              </w:rPr>
              <w:t>第二档，实施计划较科学合理，总体方案较完整，得15-20分；</w:t>
            </w:r>
          </w:p>
          <w:p>
            <w:pPr>
              <w:snapToGrid w:val="0"/>
              <w:rPr>
                <w:rFonts w:hint="eastAsia" w:ascii="宋体" w:hAnsi="宋体" w:eastAsia="宋体" w:cs="宋体"/>
                <w:bCs/>
                <w:szCs w:val="21"/>
              </w:rPr>
            </w:pPr>
            <w:r>
              <w:rPr>
                <w:rFonts w:hint="eastAsia" w:ascii="宋体" w:hAnsi="宋体" w:eastAsia="宋体" w:cs="宋体"/>
                <w:bCs/>
                <w:szCs w:val="21"/>
              </w:rPr>
              <w:t>第三档，实施计划欠合理，总体方案过于简单，得</w:t>
            </w:r>
            <w:r>
              <w:rPr>
                <w:rFonts w:ascii="宋体" w:hAnsi="宋体" w:eastAsia="宋体" w:cs="宋体"/>
                <w:bCs/>
                <w:szCs w:val="21"/>
              </w:rPr>
              <w:t>15</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日常管理标准及措施</w:t>
            </w:r>
          </w:p>
        </w:tc>
        <w:tc>
          <w:tcPr>
            <w:tcW w:w="843" w:type="dxa"/>
            <w:vAlign w:val="center"/>
          </w:tcPr>
          <w:p>
            <w:pPr>
              <w:snapToGrid w:val="0"/>
              <w:jc w:val="center"/>
              <w:rPr>
                <w:rFonts w:ascii="宋体" w:hAnsi="宋体" w:eastAsia="宋体" w:cs="宋体"/>
                <w:bCs/>
                <w:szCs w:val="21"/>
              </w:rPr>
            </w:pPr>
            <w:r>
              <w:rPr>
                <w:rFonts w:hint="eastAsia" w:ascii="宋体" w:hAnsi="宋体" w:eastAsia="宋体" w:cs="宋体"/>
                <w:bCs/>
                <w:szCs w:val="21"/>
              </w:rPr>
              <w:t>15分</w:t>
            </w:r>
          </w:p>
        </w:tc>
        <w:tc>
          <w:tcPr>
            <w:tcW w:w="5978" w:type="dxa"/>
            <w:vAlign w:val="center"/>
          </w:tcPr>
          <w:p>
            <w:pPr>
              <w:snapToGrid w:val="0"/>
              <w:rPr>
                <w:rFonts w:hint="eastAsia" w:ascii="宋体" w:hAnsi="宋体" w:eastAsia="宋体" w:cs="宋体"/>
                <w:bCs/>
                <w:szCs w:val="21"/>
              </w:rPr>
            </w:pPr>
            <w:r>
              <w:rPr>
                <w:rFonts w:hint="eastAsia" w:ascii="宋体" w:hAnsi="宋体" w:eastAsia="宋体" w:cs="宋体"/>
                <w:bCs/>
                <w:szCs w:val="21"/>
              </w:rPr>
              <w:t>第一档，科学合理，内容详细，得1</w:t>
            </w:r>
            <w:r>
              <w:rPr>
                <w:rFonts w:ascii="宋体" w:hAnsi="宋体" w:eastAsia="宋体" w:cs="宋体"/>
                <w:bCs/>
                <w:szCs w:val="21"/>
              </w:rPr>
              <w:t>2-15</w:t>
            </w:r>
            <w:r>
              <w:rPr>
                <w:rFonts w:hint="eastAsia" w:ascii="宋体" w:hAnsi="宋体" w:eastAsia="宋体" w:cs="宋体"/>
                <w:bCs/>
                <w:szCs w:val="21"/>
              </w:rPr>
              <w:t>分；</w:t>
            </w:r>
          </w:p>
          <w:p>
            <w:pPr>
              <w:snapToGrid w:val="0"/>
              <w:rPr>
                <w:rFonts w:hint="eastAsia" w:ascii="宋体" w:hAnsi="宋体" w:eastAsia="宋体" w:cs="宋体"/>
                <w:bCs/>
                <w:szCs w:val="21"/>
              </w:rPr>
            </w:pPr>
            <w:r>
              <w:rPr>
                <w:rFonts w:hint="eastAsia" w:ascii="宋体" w:hAnsi="宋体" w:eastAsia="宋体" w:cs="宋体"/>
                <w:bCs/>
                <w:szCs w:val="21"/>
              </w:rPr>
              <w:t>第二档，较科学合理，内容较详细，得</w:t>
            </w:r>
            <w:r>
              <w:rPr>
                <w:rFonts w:ascii="宋体" w:hAnsi="宋体" w:eastAsia="宋体" w:cs="宋体"/>
                <w:bCs/>
                <w:szCs w:val="21"/>
              </w:rPr>
              <w:t>9-12</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第三档，欠合理，内容过于简单，得</w:t>
            </w:r>
            <w:r>
              <w:rPr>
                <w:rFonts w:ascii="宋体" w:hAnsi="宋体" w:eastAsia="宋体" w:cs="宋体"/>
                <w:bCs/>
                <w:szCs w:val="21"/>
              </w:rPr>
              <w:t>9</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hint="eastAsia"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hint="eastAsia" w:ascii="宋体" w:hAnsi="宋体" w:eastAsia="宋体" w:cs="宋体"/>
                <w:bCs/>
                <w:szCs w:val="21"/>
              </w:rPr>
            </w:pPr>
          </w:p>
        </w:tc>
        <w:tc>
          <w:tcPr>
            <w:tcW w:w="1124" w:type="dxa"/>
            <w:tcBorders>
              <w:left w:val="single" w:color="auto" w:sz="2" w:space="0"/>
            </w:tcBorders>
            <w:vAlign w:val="center"/>
          </w:tcPr>
          <w:p>
            <w:pPr>
              <w:snapToGrid w:val="0"/>
              <w:jc w:val="center"/>
              <w:rPr>
                <w:rFonts w:hint="eastAsia" w:ascii="宋体" w:hAnsi="宋体" w:eastAsia="宋体" w:cs="宋体"/>
                <w:bCs/>
                <w:szCs w:val="21"/>
              </w:rPr>
            </w:pPr>
            <w:r>
              <w:rPr>
                <w:rFonts w:hint="eastAsia" w:ascii="宋体" w:hAnsi="宋体" w:eastAsia="宋体" w:cs="宋体"/>
                <w:bCs/>
                <w:szCs w:val="21"/>
              </w:rPr>
              <w:t>内部规章制度及人员考核培训方案</w:t>
            </w:r>
          </w:p>
        </w:tc>
        <w:tc>
          <w:tcPr>
            <w:tcW w:w="843" w:type="dxa"/>
            <w:vAlign w:val="center"/>
          </w:tcPr>
          <w:p>
            <w:pPr>
              <w:snapToGrid w:val="0"/>
              <w:jc w:val="center"/>
              <w:rPr>
                <w:rFonts w:ascii="宋体" w:hAnsi="宋体" w:eastAsia="宋体" w:cs="宋体"/>
                <w:bCs/>
                <w:szCs w:val="21"/>
              </w:rPr>
            </w:pPr>
            <w:r>
              <w:rPr>
                <w:rFonts w:hint="eastAsia" w:ascii="宋体" w:hAnsi="宋体" w:eastAsia="宋体" w:cs="宋体"/>
                <w:bCs/>
                <w:szCs w:val="21"/>
              </w:rPr>
              <w:t>10分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第一档，科学合理、完善可行、有针对性，得</w:t>
            </w:r>
            <w:r>
              <w:rPr>
                <w:rFonts w:ascii="宋体" w:hAnsi="宋体" w:eastAsia="宋体" w:cs="宋体"/>
                <w:bCs/>
                <w:szCs w:val="21"/>
              </w:rPr>
              <w:t>8-10</w:t>
            </w:r>
            <w:r>
              <w:rPr>
                <w:rFonts w:hint="eastAsia" w:ascii="宋体" w:hAnsi="宋体" w:eastAsia="宋体" w:cs="宋体"/>
                <w:bCs/>
                <w:szCs w:val="21"/>
              </w:rPr>
              <w:t>分；</w:t>
            </w:r>
          </w:p>
          <w:p>
            <w:pPr>
              <w:snapToGrid w:val="0"/>
              <w:rPr>
                <w:rFonts w:hint="eastAsia" w:ascii="宋体" w:hAnsi="宋体" w:eastAsia="宋体" w:cs="宋体"/>
                <w:bCs/>
                <w:szCs w:val="21"/>
              </w:rPr>
            </w:pPr>
            <w:r>
              <w:rPr>
                <w:rFonts w:hint="eastAsia" w:ascii="宋体" w:hAnsi="宋体" w:eastAsia="宋体" w:cs="宋体"/>
                <w:bCs/>
                <w:szCs w:val="21"/>
              </w:rPr>
              <w:t>第二档，较科学、较完善可行、较有针对性，得</w:t>
            </w:r>
            <w:r>
              <w:rPr>
                <w:rFonts w:ascii="宋体" w:hAnsi="宋体" w:eastAsia="宋体" w:cs="宋体"/>
                <w:bCs/>
                <w:szCs w:val="21"/>
              </w:rPr>
              <w:t>6-8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第三档，保证措施一般，得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hint="eastAsia"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服务承诺</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hint="eastAsia" w:ascii="宋体" w:hAnsi="宋体" w:eastAsia="宋体" w:cs="宋体"/>
                <w:bCs/>
                <w:szCs w:val="21"/>
              </w:rPr>
            </w:pPr>
            <w:r>
              <w:rPr>
                <w:rFonts w:hint="eastAsia" w:ascii="宋体" w:hAnsi="宋体" w:eastAsia="宋体" w:cs="宋体"/>
                <w:bCs/>
                <w:szCs w:val="21"/>
              </w:rPr>
              <w:t>第一档，服务承诺系统全面、科学合理，得8-10分；</w:t>
            </w:r>
          </w:p>
          <w:p>
            <w:pPr>
              <w:snapToGrid w:val="0"/>
              <w:rPr>
                <w:rFonts w:hint="eastAsia" w:ascii="宋体" w:hAnsi="宋体" w:eastAsia="宋体" w:cs="宋体"/>
                <w:bCs/>
                <w:szCs w:val="21"/>
              </w:rPr>
            </w:pPr>
            <w:r>
              <w:rPr>
                <w:rFonts w:hint="eastAsia" w:ascii="宋体" w:hAnsi="宋体" w:eastAsia="宋体" w:cs="宋体"/>
                <w:bCs/>
                <w:szCs w:val="21"/>
              </w:rPr>
              <w:t>第二档，服务承诺较完整、较科学，得6-8分；</w:t>
            </w:r>
          </w:p>
          <w:p>
            <w:pPr>
              <w:snapToGrid w:val="0"/>
              <w:rPr>
                <w:rFonts w:ascii="宋体" w:hAnsi="宋体" w:eastAsia="宋体" w:cs="宋体"/>
                <w:bCs/>
                <w:szCs w:val="21"/>
              </w:rPr>
            </w:pPr>
            <w:r>
              <w:rPr>
                <w:rFonts w:hint="eastAsia" w:ascii="宋体" w:hAnsi="宋体" w:eastAsia="宋体" w:cs="宋体"/>
                <w:bCs/>
                <w:szCs w:val="21"/>
              </w:rPr>
              <w:t>第三档，服务承诺不完整或不尽合理，得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jc w:val="center"/>
              <w:rPr>
                <w:rFonts w:hint="eastAsia" w:ascii="宋体" w:hAnsi="宋体" w:eastAsia="宋体" w:cs="宋体"/>
                <w:bCs/>
                <w:szCs w:val="21"/>
              </w:rPr>
            </w:pPr>
            <w:r>
              <w:rPr>
                <w:rFonts w:ascii="宋体" w:hAnsi="宋体" w:eastAsia="宋体" w:cs="宋体"/>
                <w:bCs/>
                <w:szCs w:val="21"/>
              </w:rPr>
              <w:t>3</w:t>
            </w:r>
          </w:p>
        </w:tc>
        <w:tc>
          <w:tcPr>
            <w:tcW w:w="2154" w:type="dxa"/>
            <w:gridSpan w:val="2"/>
            <w:tcBorders>
              <w:left w:val="single" w:color="auto" w:sz="2" w:space="0"/>
            </w:tcBorders>
            <w:vAlign w:val="center"/>
          </w:tcPr>
          <w:p>
            <w:pPr>
              <w:jc w:val="center"/>
              <w:rPr>
                <w:rFonts w:hint="eastAsia" w:ascii="宋体" w:hAnsi="宋体" w:eastAsia="宋体" w:cs="宋体"/>
                <w:bCs/>
                <w:szCs w:val="21"/>
              </w:rPr>
            </w:pPr>
            <w:r>
              <w:rPr>
                <w:rFonts w:hint="eastAsia" w:ascii="宋体" w:hAnsi="宋体" w:eastAsia="宋体" w:cs="宋体"/>
                <w:bCs/>
                <w:szCs w:val="21"/>
              </w:rPr>
              <w:t>评标价</w:t>
            </w:r>
          </w:p>
        </w:tc>
        <w:tc>
          <w:tcPr>
            <w:tcW w:w="843" w:type="dxa"/>
            <w:vAlign w:val="center"/>
          </w:tcPr>
          <w:p>
            <w:pPr>
              <w:jc w:val="center"/>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0</w:t>
            </w:r>
            <w:r>
              <w:rPr>
                <w:rFonts w:hint="eastAsia" w:ascii="宋体" w:hAnsi="宋体" w:eastAsia="宋体" w:cs="宋体"/>
                <w:bCs/>
                <w:szCs w:val="21"/>
              </w:rPr>
              <w:t>分</w:t>
            </w:r>
          </w:p>
        </w:tc>
        <w:tc>
          <w:tcPr>
            <w:tcW w:w="5978" w:type="dxa"/>
            <w:vAlign w:val="center"/>
          </w:tcPr>
          <w:p>
            <w:pPr>
              <w:rPr>
                <w:rFonts w:hint="eastAsia" w:ascii="宋体" w:hAnsi="宋体" w:eastAsia="宋体" w:cs="Times New Roman"/>
                <w:szCs w:val="21"/>
              </w:rPr>
            </w:pPr>
            <w:r>
              <w:rPr>
                <w:rFonts w:hint="eastAsia" w:ascii="宋体" w:hAnsi="宋体" w:eastAsia="宋体" w:cs="Times New Roman"/>
                <w:szCs w:val="21"/>
              </w:rPr>
              <w:t>评标价得分计算公式示例：</w:t>
            </w:r>
          </w:p>
          <w:p>
            <w:pPr>
              <w:ind w:firstLine="243" w:firstLineChars="116"/>
              <w:rPr>
                <w:rFonts w:hint="eastAsia" w:ascii="宋体" w:hAnsi="宋体" w:eastAsia="宋体" w:cs="Times New Roman"/>
                <w:szCs w:val="21"/>
              </w:rPr>
            </w:pPr>
            <w:r>
              <w:rPr>
                <w:rFonts w:hint="eastAsia" w:ascii="宋体" w:hAnsi="宋体" w:eastAsia="宋体" w:cs="Times New Roman"/>
                <w:szCs w:val="21"/>
              </w:rPr>
              <w:t>（1）如果投标人的评标价＞评标基准价，则评标价得分=F-（投标人评标价-评标基准价）/评标基准价×100×E1；</w:t>
            </w:r>
          </w:p>
          <w:p>
            <w:pPr>
              <w:ind w:firstLine="243" w:firstLineChars="116"/>
              <w:rPr>
                <w:rFonts w:hint="eastAsia" w:ascii="宋体" w:hAnsi="宋体" w:eastAsia="宋体" w:cs="Times New Roman"/>
                <w:szCs w:val="21"/>
              </w:rPr>
            </w:pPr>
            <w:r>
              <w:rPr>
                <w:rFonts w:hint="eastAsia" w:ascii="宋体" w:hAnsi="宋体" w:eastAsia="宋体" w:cs="Times New Roman"/>
                <w:szCs w:val="21"/>
              </w:rPr>
              <w:t>（2）如果投标人的评标价≤评标基准价，则评标价得分=F+(投标人评标价-评标基准价)/评标基准价×100×E2。</w:t>
            </w:r>
          </w:p>
          <w:p>
            <w:pPr>
              <w:ind w:firstLine="243" w:firstLineChars="116"/>
              <w:rPr>
                <w:rFonts w:ascii="宋体" w:hAnsi="宋体" w:eastAsia="宋体" w:cs="宋体"/>
                <w:bCs/>
                <w:szCs w:val="21"/>
              </w:rPr>
            </w:pPr>
            <w:r>
              <w:rPr>
                <w:rFonts w:hint="eastAsia" w:ascii="宋体" w:hAnsi="宋体" w:eastAsia="宋体" w:cs="Times New Roman"/>
                <w:szCs w:val="21"/>
              </w:rPr>
              <w:t>其中，F=10；E1=0.</w:t>
            </w:r>
            <w:r>
              <w:rPr>
                <w:rFonts w:ascii="宋体" w:hAnsi="宋体" w:eastAsia="宋体" w:cs="Times New Roman"/>
                <w:szCs w:val="21"/>
              </w:rPr>
              <w:t>2</w:t>
            </w:r>
            <w:r>
              <w:rPr>
                <w:rFonts w:hint="eastAsia" w:ascii="宋体" w:hAnsi="宋体" w:eastAsia="宋体" w:cs="Times New Roman"/>
                <w:szCs w:val="21"/>
              </w:rPr>
              <w:t>；E2=0.</w:t>
            </w:r>
            <w:r>
              <w:rPr>
                <w:rFonts w:ascii="宋体" w:hAnsi="宋体" w:eastAsia="宋体" w:cs="Times New Roman"/>
                <w:szCs w:val="21"/>
              </w:rPr>
              <w:t>1</w:t>
            </w:r>
            <w:r>
              <w:rPr>
                <w:rFonts w:hint="eastAsia" w:ascii="宋体" w:hAnsi="宋体" w:eastAsia="宋体" w:cs="Times New Roman"/>
                <w:szCs w:val="21"/>
              </w:rPr>
              <w:t>；评标价最低得分为0分。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pPr>
              <w:jc w:val="center"/>
              <w:rPr>
                <w:rFonts w:ascii="宋体" w:hAnsi="宋体" w:eastAsia="宋体" w:cs="宋体"/>
                <w:bCs/>
                <w:szCs w:val="21"/>
              </w:rPr>
            </w:pPr>
            <w:r>
              <w:rPr>
                <w:rFonts w:hint="eastAsia" w:ascii="宋体" w:hAnsi="宋体" w:eastAsia="宋体" w:cs="宋体"/>
                <w:bCs/>
                <w:szCs w:val="21"/>
              </w:rPr>
              <w:t>合计</w:t>
            </w:r>
          </w:p>
        </w:tc>
        <w:tc>
          <w:tcPr>
            <w:tcW w:w="843" w:type="dxa"/>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分</w:t>
            </w:r>
          </w:p>
        </w:tc>
        <w:tc>
          <w:tcPr>
            <w:tcW w:w="5978" w:type="dxa"/>
            <w:vAlign w:val="center"/>
          </w:tcPr>
          <w:p>
            <w:pPr>
              <w:jc w:val="center"/>
              <w:rPr>
                <w:rFonts w:ascii="宋体" w:hAnsi="宋体" w:eastAsia="宋体" w:cs="宋体"/>
                <w:bCs/>
                <w:szCs w:val="21"/>
              </w:rPr>
            </w:pPr>
          </w:p>
        </w:tc>
      </w:tr>
    </w:tbl>
    <w:p>
      <w:pPr>
        <w:spacing w:line="312" w:lineRule="auto"/>
        <w:rPr>
          <w:rFonts w:hint="eastAsia" w:ascii="宋体" w:hAnsi="宋体" w:eastAsia="宋体" w:cs="Times New Roman"/>
          <w:szCs w:val="21"/>
        </w:rPr>
      </w:pPr>
      <w:r>
        <w:rPr>
          <w:rFonts w:hint="eastAsia" w:ascii="宋体" w:hAnsi="宋体" w:eastAsia="宋体" w:cs="Times New Roman"/>
          <w:szCs w:val="21"/>
        </w:rPr>
        <w:t>注：1、各分项得分为各评委打分算术平均值，评委打分平均值保留两位小数，第三位四舍五入。</w:t>
      </w:r>
    </w:p>
    <w:p>
      <w:r>
        <w:rPr>
          <w:rFonts w:hint="eastAsia" w:ascii="宋体" w:hAnsi="宋体" w:eastAsia="宋体" w:cs="Times New Roman"/>
          <w:szCs w:val="21"/>
        </w:rPr>
        <w:t>2、服务方案缺项则该项得0分。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3C3322"/>
    <w:rsid w:val="00231F31"/>
    <w:rsid w:val="003C3322"/>
    <w:rsid w:val="004C7763"/>
    <w:rsid w:val="00641CB7"/>
    <w:rsid w:val="00D66E79"/>
    <w:rsid w:val="00F00004"/>
    <w:rsid w:val="2F9A58BF"/>
    <w:rsid w:val="75CE3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3251</Words>
  <Characters>3478</Characters>
  <Lines>182</Lines>
  <Paragraphs>182</Paragraphs>
  <TotalTime>1</TotalTime>
  <ScaleCrop>false</ScaleCrop>
  <LinksUpToDate>false</LinksUpToDate>
  <CharactersWithSpaces>3543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2022-12-23T01:34:00Z</dcterms:created>
  <dc:creator>office</dc:creator>
  <cp:lastModifiedBy>丁燕</cp:lastModifiedBy>
  <dcterms:modified xsi:type="dcterms:W3CDTF">2022-12-23T03:07:02Z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1DF4A38E52544B3BAB782A1B302804F5</vt:lpwstr>
  </property>
</Properties>
</file>