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b/>
          <w:sz w:val="28"/>
          <w:szCs w:val="28"/>
        </w:rPr>
      </w:pPr>
      <w:bookmarkStart w:id="2" w:name="_GoBack"/>
      <w:bookmarkEnd w:id="2"/>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3"/>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具备独立法人资格，具有有效企业营业执照或事业单位法人证书；</w:t>
            </w:r>
          </w:p>
          <w:p>
            <w:pPr>
              <w:spacing w:line="288" w:lineRule="auto"/>
              <w:ind w:firstLine="420" w:firstLineChars="200"/>
              <w:rPr>
                <w:rFonts w:hint="eastAsia" w:ascii="宋体" w:hAnsi="宋体"/>
                <w:szCs w:val="21"/>
              </w:rPr>
            </w:pPr>
            <w:r>
              <w:rPr>
                <w:rFonts w:hint="eastAsia" w:ascii="宋体" w:hAnsi="宋体"/>
                <w:szCs w:val="21"/>
              </w:rPr>
              <w:t>具备交通运输部门颁发的道路运输经营许可证（含县际客运及以上范围）。</w:t>
            </w:r>
          </w:p>
        </w:tc>
      </w:tr>
    </w:tbl>
    <w:p>
      <w:pPr>
        <w:jc w:val="center"/>
        <w:rPr>
          <w:rFonts w:ascii="宋体" w:hAnsi="宋体"/>
          <w:b/>
          <w:sz w:val="28"/>
        </w:rPr>
      </w:pPr>
    </w:p>
    <w:p>
      <w:pPr>
        <w:pStyle w:val="3"/>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b/>
                <w:bCs/>
                <w:szCs w:val="21"/>
              </w:rPr>
            </w:pPr>
            <w:bookmarkStart w:id="0" w:name="_Hlk50454153"/>
            <w:bookmarkStart w:id="1" w:name="_Hlk51692819"/>
            <w:r>
              <w:rPr>
                <w:rFonts w:hint="eastAsia" w:ascii="宋体" w:hAnsi="宋体"/>
                <w:szCs w:val="21"/>
              </w:rPr>
              <w:t>近5年内（201</w:t>
            </w:r>
            <w:r>
              <w:rPr>
                <w:rFonts w:ascii="宋体" w:hAnsi="宋体"/>
                <w:szCs w:val="21"/>
              </w:rPr>
              <w:t>7</w:t>
            </w:r>
            <w:r>
              <w:rPr>
                <w:rFonts w:hint="eastAsia" w:ascii="宋体" w:hAnsi="宋体"/>
                <w:szCs w:val="21"/>
              </w:rPr>
              <w:t>年</w:t>
            </w:r>
            <w:r>
              <w:rPr>
                <w:rFonts w:ascii="宋体" w:hAnsi="宋体"/>
                <w:szCs w:val="21"/>
              </w:rPr>
              <w:t>12月</w:t>
            </w:r>
            <w:r>
              <w:rPr>
                <w:rFonts w:hint="eastAsia" w:ascii="宋体" w:hAnsi="宋体"/>
                <w:szCs w:val="21"/>
              </w:rPr>
              <w:t>1日至今，以合同签订时间为准）投标人至少承担过一项客车租赁项目业绩。</w:t>
            </w:r>
            <w:bookmarkEnd w:id="0"/>
            <w:bookmarkEnd w:id="1"/>
          </w:p>
        </w:tc>
      </w:tr>
    </w:tbl>
    <w:p>
      <w:pPr>
        <w:jc w:val="center"/>
        <w:rPr>
          <w:rFonts w:ascii="宋体" w:hAnsi="宋体"/>
          <w:b/>
          <w:sz w:val="24"/>
        </w:rPr>
      </w:pPr>
    </w:p>
    <w:p>
      <w:pPr>
        <w:pStyle w:val="3"/>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21</w:t>
            </w:r>
            <w:r>
              <w:rPr>
                <w:rFonts w:hint="eastAsia" w:ascii="宋体" w:hAnsi="宋体"/>
              </w:rPr>
              <w:t>年</w:t>
            </w:r>
            <w:r>
              <w:rPr>
                <w:rFonts w:ascii="宋体" w:hAnsi="宋体"/>
              </w:rPr>
              <w:t>12</w:t>
            </w:r>
            <w:r>
              <w:rPr>
                <w:rFonts w:hint="eastAsia" w:ascii="宋体" w:hAnsi="宋体"/>
              </w:rPr>
              <w:t>月1日至今)</w:t>
            </w:r>
            <w:r>
              <w:rPr>
                <w:rFonts w:hint="eastAsia" w:ascii="宋体" w:hAnsi="宋体"/>
                <w:szCs w:val="21"/>
              </w:rPr>
              <w:t>不曾在公路合同中违约而被驱逐或因投标人自身的原因而使公路合同被解除。</w:t>
            </w:r>
          </w:p>
        </w:tc>
      </w:tr>
    </w:tbl>
    <w:p>
      <w:pPr>
        <w:spacing w:line="360" w:lineRule="exact"/>
        <w:jc w:val="left"/>
        <w:rPr>
          <w:rFonts w:ascii="宋体" w:hAnsi="宋体"/>
          <w:b/>
          <w:sz w:val="24"/>
        </w:rPr>
      </w:pPr>
    </w:p>
    <w:p>
      <w:pPr>
        <w:spacing w:line="360" w:lineRule="exact"/>
        <w:jc w:val="left"/>
        <w:rPr>
          <w:rFonts w:ascii="宋体" w:hAnsi="宋体"/>
          <w:b/>
          <w:sz w:val="24"/>
        </w:rPr>
      </w:pPr>
    </w:p>
    <w:p>
      <w:pPr>
        <w:adjustRightInd w:val="0"/>
        <w:spacing w:line="400" w:lineRule="atLeast"/>
        <w:ind w:firstLine="367" w:firstLineChars="175"/>
        <w:rPr>
          <w:rFonts w:ascii="宋体" w:hAnsi="宋体"/>
          <w:sz w:val="24"/>
          <w:szCs w:val="24"/>
        </w:rPr>
      </w:pPr>
      <w:r>
        <w:rPr>
          <w:rFonts w:ascii="宋体" w:hAnsi="宋体"/>
        </w:rPr>
        <w:br w:type="page"/>
      </w:r>
      <w:r>
        <w:rPr>
          <w:rFonts w:hint="eastAsia" w:ascii="宋体" w:hAnsi="宋体"/>
          <w:sz w:val="24"/>
          <w:szCs w:val="24"/>
        </w:rPr>
        <w:t>附件2：评标办法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a．投标函按招标文件规定填报了项目名称、标段号、补遗书编号（如有）、服务期限、质量要求及安全目标；</w:t>
            </w:r>
          </w:p>
          <w:p>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pPr>
              <w:widowControl/>
              <w:spacing w:line="360" w:lineRule="exact"/>
              <w:ind w:firstLine="420" w:firstLineChars="200"/>
              <w:jc w:val="left"/>
              <w:rPr>
                <w:rFonts w:hint="eastAsia" w:ascii="宋体" w:hAnsi="宋体"/>
                <w:szCs w:val="21"/>
              </w:rPr>
            </w:pPr>
            <w:r>
              <w:rPr>
                <w:rFonts w:hint="eastAsia" w:ascii="宋体" w:hAnsi="宋体"/>
                <w:szCs w:val="21"/>
              </w:rPr>
              <w:t>（3）投标人按照招标文件的规定提供了投标保证金：</w:t>
            </w:r>
          </w:p>
          <w:p>
            <w:pPr>
              <w:tabs>
                <w:tab w:val="left" w:pos="3060"/>
              </w:tabs>
              <w:spacing w:line="360" w:lineRule="exact"/>
              <w:ind w:firstLine="525" w:firstLineChars="250"/>
              <w:rPr>
                <w:rFonts w:hint="eastAsia"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60" w:lineRule="exact"/>
              <w:ind w:firstLine="525" w:firstLineChars="250"/>
              <w:rPr>
                <w:rFonts w:hint="eastAsia" w:ascii="宋体" w:hAnsi="宋体"/>
                <w:szCs w:val="21"/>
              </w:rPr>
            </w:pPr>
            <w:r>
              <w:rPr>
                <w:rFonts w:hint="eastAsia" w:ascii="宋体" w:hAnsi="宋体"/>
                <w:szCs w:val="21"/>
              </w:rPr>
              <w:t xml:space="preserve">b.若投标保证金采用现金或支票或电汇或转账形式提交，投标人应在递交投标文件截止时间之前，将投标保证金由投标人的基本账户转入招标人指定账户； </w:t>
            </w:r>
          </w:p>
          <w:p>
            <w:pPr>
              <w:tabs>
                <w:tab w:val="left" w:pos="3060"/>
              </w:tabs>
              <w:spacing w:line="360" w:lineRule="exact"/>
              <w:ind w:firstLine="525" w:firstLineChars="25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420" w:firstLineChars="200"/>
              <w:rPr>
                <w:rFonts w:hint="eastAsia" w:ascii="宋体" w:hAnsi="宋体"/>
                <w:szCs w:val="21"/>
              </w:rPr>
            </w:pPr>
            <w:r>
              <w:rPr>
                <w:rFonts w:hint="eastAsia" w:ascii="宋体" w:hAnsi="宋体"/>
                <w:szCs w:val="21"/>
              </w:rPr>
              <w:t>d.若投标保证金采用保证保险形式提交，保证保险的格式、开具保证保险的公司均满足招标文件要求。</w:t>
            </w:r>
          </w:p>
          <w:p>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（7）同一投标人未对同一标段提交两个以上不同的投标文件。</w:t>
            </w:r>
          </w:p>
          <w:p>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）投标人未对本项目进行分包。</w:t>
            </w:r>
          </w:p>
          <w:p>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a.投标函按招标文件规定填报了项目名称、标段号、补遗书编号（如有）、投标价（包括大写金额和小写金额）；</w:t>
            </w:r>
          </w:p>
          <w:p>
            <w:pPr>
              <w:tabs>
                <w:tab w:val="left" w:pos="3060"/>
              </w:tabs>
              <w:spacing w:line="360" w:lineRule="exact"/>
              <w:ind w:firstLine="420" w:firstLineChars="200"/>
              <w:rPr>
                <w:rFonts w:hint="eastAsia" w:ascii="宋体" w:hAnsi="宋体"/>
                <w:bCs/>
                <w:szCs w:val="21"/>
              </w:rPr>
            </w:pPr>
            <w:r>
              <w:rPr>
                <w:rFonts w:hint="eastAsia" w:ascii="宋体" w:hAnsi="宋体"/>
                <w:bCs/>
                <w:szCs w:val="21"/>
              </w:rPr>
              <w:t>b．已</w:t>
            </w:r>
            <w:r>
              <w:rPr>
                <w:rFonts w:hint="eastAsia" w:ascii="宋体" w:hAnsi="宋体"/>
                <w:szCs w:val="21"/>
              </w:rPr>
              <w:t>标价</w:t>
            </w:r>
            <w:r>
              <w:rPr>
                <w:rFonts w:hint="eastAsia" w:ascii="宋体" w:hAnsi="宋体"/>
                <w:bCs/>
                <w:szCs w:val="21"/>
              </w:rPr>
              <w:t>清单说明文字与招标文件规定一致，未进行修改和删减；</w:t>
            </w:r>
          </w:p>
          <w:p>
            <w:pPr>
              <w:tabs>
                <w:tab w:val="left" w:pos="3060"/>
              </w:tabs>
              <w:spacing w:line="360" w:lineRule="exact"/>
              <w:ind w:firstLine="420" w:firstLineChars="200"/>
              <w:rPr>
                <w:rFonts w:ascii="宋体" w:hAnsi="宋体"/>
                <w:bCs/>
                <w:szCs w:val="21"/>
              </w:rPr>
            </w:pPr>
            <w:r>
              <w:rPr>
                <w:rFonts w:hint="eastAsia" w:ascii="宋体" w:hAnsi="宋体"/>
                <w:bCs/>
                <w:szCs w:val="21"/>
              </w:rPr>
              <w:t>c．投标文件组成齐全完整，内容均按规定填写。</w:t>
            </w:r>
          </w:p>
          <w:p>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（3）投标报价中的报价未超过招标文件设定的最高投标限价。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（4）投标报价中报价的大写金额能够确定具体数值。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p>
            <w:pPr>
              <w:tabs>
                <w:tab w:val="left" w:pos="3060"/>
              </w:tabs>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Cs/>
                <w:szCs w:val="21"/>
              </w:rPr>
              <w:t>已</w:t>
            </w:r>
            <w:r>
              <w:rPr>
                <w:rFonts w:hint="eastAsia" w:ascii="宋体" w:hAnsi="宋体"/>
                <w:szCs w:val="21"/>
              </w:rPr>
              <w:t>标价清单中的投标报价和投标函大写金额报价一致。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hint="eastAsia" w:ascii="宋体" w:hAnsi="宋体"/>
                <w:szCs w:val="21"/>
              </w:rPr>
            </w:pPr>
            <w:r>
              <w:rPr>
                <w:rFonts w:hint="eastAsia" w:ascii="宋体" w:hAnsi="宋体"/>
                <w:szCs w:val="21"/>
              </w:rPr>
              <w:t>（1）投标人具备有效的营业执照、组织机构代码证（三证合一或五证合一的除外）、经营许可证和基本账户开户许可证或基本存款账户信息。</w:t>
            </w:r>
          </w:p>
          <w:p>
            <w:pPr>
              <w:tabs>
                <w:tab w:val="left" w:pos="3060"/>
              </w:tabs>
              <w:spacing w:line="360" w:lineRule="exact"/>
              <w:ind w:firstLine="420" w:firstLineChars="200"/>
              <w:rPr>
                <w:rFonts w:hint="eastAsia" w:ascii="宋体" w:hAnsi="宋体"/>
                <w:szCs w:val="21"/>
              </w:rPr>
            </w:pPr>
            <w:r>
              <w:rPr>
                <w:rFonts w:hint="eastAsia" w:ascii="宋体" w:hAnsi="宋体"/>
                <w:szCs w:val="21"/>
              </w:rPr>
              <w:t>（2）投标人的资质等级符合招标文件规定。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10</w:t>
            </w:r>
            <w:r>
              <w:rPr>
                <w:rFonts w:hint="eastAsia" w:ascii="宋体" w:hAnsi="宋体"/>
                <w:szCs w:val="21"/>
              </w:rPr>
              <w:t>分</w:t>
            </w:r>
          </w:p>
          <w:p>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80</w:t>
            </w:r>
            <w:r>
              <w:rPr>
                <w:rFonts w:hint="eastAsia" w:ascii="宋体" w:hAnsi="宋体"/>
                <w:szCs w:val="21"/>
              </w:rPr>
              <w:t>分</w:t>
            </w:r>
          </w:p>
          <w:p>
            <w:pPr>
              <w:spacing w:line="360" w:lineRule="exact"/>
              <w:ind w:firstLine="420" w:firstLineChars="200"/>
              <w:rPr>
                <w:rFonts w:hint="eastAsia" w:ascii="宋体" w:hAnsi="宋体"/>
                <w:szCs w:val="21"/>
              </w:rPr>
            </w:pPr>
            <w:r>
              <w:rPr>
                <w:rFonts w:hint="eastAsia" w:ascii="宋体" w:hAnsi="宋体"/>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rPr>
            </w:pPr>
            <w:r>
              <w:rPr>
                <w:rFonts w:hint="eastAsia" w:ascii="宋体" w:hAnsi="宋体"/>
                <w:szCs w:val="21"/>
              </w:rPr>
              <w:t xml:space="preserve">评标基准价的计算： </w:t>
            </w:r>
          </w:p>
          <w:p>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pPr>
              <w:spacing w:line="360" w:lineRule="exact"/>
              <w:ind w:firstLine="420" w:firstLineChars="200"/>
              <w:rPr>
                <w:rFonts w:hint="eastAsia" w:ascii="宋体" w:hAnsi="宋体"/>
                <w:szCs w:val="21"/>
              </w:rPr>
            </w:pPr>
            <w:r>
              <w:rPr>
                <w:rFonts w:hint="eastAsia" w:ascii="宋体" w:hAnsi="宋体"/>
                <w:szCs w:val="21"/>
              </w:rPr>
              <w:t>评标价=投标函文字报价</w:t>
            </w:r>
          </w:p>
          <w:p>
            <w:pPr>
              <w:spacing w:line="360" w:lineRule="exact"/>
              <w:ind w:firstLine="420" w:firstLineChars="200"/>
              <w:rPr>
                <w:rFonts w:ascii="宋体" w:hAnsi="宋体"/>
                <w:szCs w:val="21"/>
              </w:rPr>
            </w:pPr>
            <w:r>
              <w:rPr>
                <w:rFonts w:hint="eastAsia" w:ascii="宋体" w:hAnsi="宋体"/>
                <w:szCs w:val="21"/>
              </w:rPr>
              <w:t>(2)评标价平均值的计算：</w:t>
            </w:r>
          </w:p>
          <w:p>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spacing w:line="360" w:lineRule="exact"/>
              <w:ind w:firstLine="420" w:firstLineChars="200"/>
              <w:rPr>
                <w:rFonts w:hint="eastAsia" w:ascii="宋体" w:hAnsi="宋体"/>
                <w:szCs w:val="21"/>
              </w:rPr>
            </w:pPr>
            <w:r>
              <w:rPr>
                <w:rFonts w:hint="eastAsia" w:ascii="宋体" w:hAnsi="宋体"/>
                <w:szCs w:val="21"/>
              </w:rPr>
              <w:t>(3)评标基准价的确定：</w:t>
            </w:r>
          </w:p>
          <w:p>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pPr>
              <w:spacing w:line="360" w:lineRule="exact"/>
              <w:ind w:firstLine="420" w:firstLineChars="200"/>
              <w:rPr>
                <w:rFonts w:ascii="宋体" w:hAnsi="宋体"/>
                <w:szCs w:val="21"/>
              </w:rPr>
            </w:pPr>
            <w:r>
              <w:rPr>
                <w:rFonts w:hint="eastAsia" w:ascii="宋体" w:hAnsi="宋体"/>
                <w:szCs w:val="21"/>
              </w:rPr>
              <w:t>评标基准价保留小数点后两位，小数点后第三位四舍五入。</w:t>
            </w:r>
          </w:p>
          <w:p>
            <w:pPr>
              <w:spacing w:line="360" w:lineRule="exact"/>
              <w:ind w:firstLine="420" w:firstLineChars="200"/>
              <w:rPr>
                <w:rFonts w:hint="eastAsia"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名单、异常经营名录（或经营异常名录信息查询）、税收违法黑名单（或重大税收违法失信主体）、政府采购严重违法失信行为记录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rPr>
              <w:t>3.6.2</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rPr>
              <w:t>电子招标串通投标</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pPr>
            <w:r>
              <w:rPr>
                <w:rFonts w:hint="eastAsia"/>
              </w:rPr>
              <w:t>（2）有下列情形之一的，视为投标人相互串通投标增加：</w:t>
            </w:r>
          </w:p>
          <w:p>
            <w:pPr>
              <w:adjustRightInd w:val="0"/>
              <w:snapToGrid w:val="0"/>
              <w:spacing w:line="300" w:lineRule="exact"/>
              <w:ind w:firstLine="210" w:firstLineChars="100"/>
              <w:rPr>
                <w:rFonts w:hint="eastAsia" w:ascii="宋体" w:hAnsi="宋体"/>
              </w:rPr>
            </w:pPr>
            <w:r>
              <w:rPr>
                <w:rFonts w:hint="eastAsia"/>
              </w:rPr>
              <w:t>g.不同投标人的电子投标文件IP、MAC地址相同。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需要补充的其他内容：无</w:t>
            </w:r>
          </w:p>
        </w:tc>
      </w:tr>
    </w:tbl>
    <w:p>
      <w:r>
        <w:rPr>
          <w:rFonts w:ascii="宋体" w:hAnsi="宋体"/>
          <w:szCs w:val="21"/>
        </w:rPr>
        <w:br w:type="page"/>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szCs w:val="21"/>
              </w:rPr>
            </w:pPr>
            <w:r>
              <w:rPr>
                <w:rFonts w:hint="eastAsia" w:ascii="宋体" w:hAnsi="宋体"/>
                <w:szCs w:val="21"/>
              </w:rPr>
              <w:t>序号</w:t>
            </w:r>
          </w:p>
        </w:tc>
        <w:tc>
          <w:tcPr>
            <w:tcW w:w="2154" w:type="dxa"/>
            <w:gridSpan w:val="2"/>
            <w:vAlign w:val="center"/>
          </w:tcPr>
          <w:p>
            <w:pPr>
              <w:jc w:val="center"/>
              <w:rPr>
                <w:rFonts w:ascii="宋体" w:hAnsi="宋体"/>
                <w:szCs w:val="21"/>
              </w:rPr>
            </w:pPr>
            <w:r>
              <w:rPr>
                <w:rFonts w:hint="eastAsia" w:ascii="宋体" w:hAnsi="宋体"/>
                <w:szCs w:val="21"/>
              </w:rPr>
              <w:t>评审项目</w:t>
            </w:r>
          </w:p>
        </w:tc>
        <w:tc>
          <w:tcPr>
            <w:tcW w:w="843" w:type="dxa"/>
            <w:vAlign w:val="center"/>
          </w:tcPr>
          <w:p>
            <w:pPr>
              <w:jc w:val="center"/>
              <w:rPr>
                <w:rFonts w:ascii="宋体" w:hAnsi="宋体"/>
                <w:szCs w:val="21"/>
              </w:rPr>
            </w:pPr>
            <w:r>
              <w:rPr>
                <w:rFonts w:hint="eastAsia" w:ascii="宋体" w:hAnsi="宋体"/>
                <w:szCs w:val="21"/>
              </w:rPr>
              <w:t>标准分</w:t>
            </w:r>
          </w:p>
        </w:tc>
        <w:tc>
          <w:tcPr>
            <w:tcW w:w="5978" w:type="dxa"/>
            <w:vAlign w:val="center"/>
          </w:tcPr>
          <w:p>
            <w:pPr>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pPr>
              <w:snapToGrid w:val="0"/>
              <w:jc w:val="center"/>
              <w:rPr>
                <w:rFonts w:ascii="宋体" w:hAnsi="宋体" w:cs="宋体"/>
                <w:bCs/>
                <w:w w:val="90"/>
                <w:szCs w:val="21"/>
              </w:rPr>
            </w:pPr>
            <w:r>
              <w:rPr>
                <w:rFonts w:ascii="宋体" w:hAnsi="宋体" w:cs="宋体"/>
                <w:bCs/>
                <w:w w:val="90"/>
                <w:szCs w:val="21"/>
              </w:rPr>
              <w:t>1</w:t>
            </w:r>
          </w:p>
        </w:tc>
        <w:tc>
          <w:tcPr>
            <w:tcW w:w="2154" w:type="dxa"/>
            <w:gridSpan w:val="2"/>
            <w:vAlign w:val="center"/>
          </w:tcPr>
          <w:p>
            <w:pPr>
              <w:snapToGrid w:val="0"/>
              <w:jc w:val="center"/>
              <w:rPr>
                <w:rFonts w:ascii="宋体" w:hAnsi="宋体" w:cs="宋体"/>
                <w:bCs/>
                <w:szCs w:val="21"/>
              </w:rPr>
            </w:pPr>
            <w:r>
              <w:rPr>
                <w:rFonts w:hint="eastAsia" w:ascii="宋体" w:hAnsi="宋体" w:cs="宋体"/>
                <w:bCs/>
                <w:szCs w:val="21"/>
              </w:rPr>
              <w:t>业绩</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szCs w:val="21"/>
              </w:rPr>
            </w:pPr>
            <w:r>
              <w:rPr>
                <w:rFonts w:hint="eastAsia" w:ascii="宋体" w:hAnsi="宋体"/>
                <w:szCs w:val="21"/>
              </w:rPr>
              <w:t>满足资格审查条件(业绩最低要求)得6分；</w:t>
            </w:r>
          </w:p>
          <w:p>
            <w:pPr>
              <w:snapToGrid w:val="0"/>
              <w:rPr>
                <w:rFonts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2</w:t>
            </w:r>
            <w:r>
              <w:rPr>
                <w:rFonts w:hint="eastAsia" w:ascii="宋体" w:hAnsi="宋体" w:cs="宋体"/>
                <w:bCs/>
                <w:szCs w:val="21"/>
              </w:rPr>
              <w:t>分，最高加</w:t>
            </w:r>
            <w:r>
              <w:rPr>
                <w:rFonts w:ascii="宋体" w:hAnsi="宋体" w:cs="宋体"/>
                <w:bCs/>
                <w:szCs w:val="21"/>
              </w:rPr>
              <w:t>4</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307" w:hRule="exact"/>
          <w:jc w:val="center"/>
        </w:trPr>
        <w:tc>
          <w:tcPr>
            <w:tcW w:w="735" w:type="dxa"/>
            <w:vMerge w:val="restart"/>
            <w:tcBorders>
              <w:right w:val="single" w:color="auto" w:sz="2" w:space="0"/>
            </w:tcBorders>
            <w:vAlign w:val="center"/>
          </w:tcPr>
          <w:p>
            <w:pPr>
              <w:snapToGrid w:val="0"/>
              <w:jc w:val="center"/>
              <w:rPr>
                <w:rFonts w:ascii="宋体" w:hAnsi="宋体" w:cs="宋体"/>
                <w:bCs/>
                <w:w w:val="90"/>
                <w:szCs w:val="21"/>
              </w:rPr>
            </w:pPr>
            <w:r>
              <w:rPr>
                <w:rFonts w:ascii="宋体" w:hAnsi="宋体" w:cs="宋体"/>
                <w:bCs/>
                <w:w w:val="90"/>
                <w:szCs w:val="21"/>
              </w:rPr>
              <w:t>2</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cs="宋体"/>
                <w:bCs/>
                <w:szCs w:val="21"/>
              </w:rPr>
            </w:pPr>
            <w:r>
              <w:rPr>
                <w:rFonts w:hint="eastAsia" w:ascii="宋体" w:hAnsi="宋体" w:cs="宋体"/>
                <w:bCs/>
                <w:szCs w:val="21"/>
              </w:rPr>
              <w:t>服务方案</w:t>
            </w:r>
          </w:p>
          <w:p>
            <w:pPr>
              <w:snapToGrid w:val="0"/>
              <w:spacing w:before="156" w:beforeLines="50" w:after="156" w:afterLines="50"/>
              <w:jc w:val="center"/>
              <w:rPr>
                <w:rFonts w:hint="eastAsia" w:ascii="宋体" w:hAnsi="宋体" w:cs="宋体"/>
                <w:bCs/>
                <w:szCs w:val="21"/>
              </w:rPr>
            </w:pPr>
            <w:r>
              <w:rPr>
                <w:rFonts w:hint="eastAsia" w:ascii="宋体" w:hAnsi="宋体" w:cs="宋体"/>
                <w:bCs/>
                <w:szCs w:val="21"/>
              </w:rPr>
              <w:t>（</w:t>
            </w:r>
            <w:r>
              <w:rPr>
                <w:rFonts w:ascii="宋体" w:hAnsi="宋体" w:cs="宋体"/>
                <w:bCs/>
                <w:szCs w:val="21"/>
              </w:rPr>
              <w:t>80</w:t>
            </w:r>
            <w:r>
              <w:rPr>
                <w:rFonts w:hint="eastAsia" w:ascii="宋体" w:hAnsi="宋体" w:cs="宋体"/>
                <w:bCs/>
                <w:szCs w:val="21"/>
              </w:rPr>
              <w:t>分）</w:t>
            </w:r>
          </w:p>
        </w:tc>
        <w:tc>
          <w:tcPr>
            <w:tcW w:w="1124" w:type="dxa"/>
            <w:tcBorders>
              <w:left w:val="single" w:color="auto" w:sz="2" w:space="0"/>
            </w:tcBorders>
            <w:vAlign w:val="center"/>
          </w:tcPr>
          <w:p>
            <w:pPr>
              <w:snapToGrid w:val="0"/>
              <w:spacing w:before="156" w:beforeLines="50" w:after="156" w:afterLines="50"/>
              <w:jc w:val="center"/>
              <w:rPr>
                <w:rFonts w:hint="eastAsia" w:ascii="宋体" w:hAnsi="宋体" w:cs="宋体"/>
                <w:bCs/>
                <w:szCs w:val="21"/>
              </w:rPr>
            </w:pPr>
            <w:r>
              <w:rPr>
                <w:rFonts w:hint="eastAsia" w:ascii="宋体" w:hAnsi="宋体" w:cs="宋体"/>
                <w:bCs/>
                <w:szCs w:val="21"/>
              </w:rPr>
              <w:t>组织机构及车辆配备</w:t>
            </w:r>
          </w:p>
        </w:tc>
        <w:tc>
          <w:tcPr>
            <w:tcW w:w="843" w:type="dxa"/>
            <w:vAlign w:val="center"/>
          </w:tcPr>
          <w:p>
            <w:pPr>
              <w:snapToGrid w:val="0"/>
              <w:jc w:val="center"/>
              <w:rPr>
                <w:rFonts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根据投标人项目实施团队的组织机构和车辆配备优劣进行比较打分：</w:t>
            </w:r>
          </w:p>
          <w:p>
            <w:pPr>
              <w:snapToGrid w:val="0"/>
              <w:rPr>
                <w:rFonts w:hint="eastAsia" w:ascii="宋体" w:hAnsi="宋体" w:cs="宋体"/>
                <w:bCs/>
                <w:szCs w:val="21"/>
              </w:rPr>
            </w:pPr>
            <w:r>
              <w:rPr>
                <w:rFonts w:hint="eastAsia" w:ascii="宋体" w:hAnsi="宋体" w:cs="宋体"/>
                <w:bCs/>
                <w:szCs w:val="21"/>
              </w:rPr>
              <w:t>第一档，组织管理机构完善、合理，车况良好、车辆功能配置先进，车辆购置年限在</w:t>
            </w:r>
            <w:r>
              <w:rPr>
                <w:rFonts w:ascii="宋体" w:hAnsi="宋体" w:cs="宋体"/>
                <w:bCs/>
                <w:szCs w:val="21"/>
              </w:rPr>
              <w:t>2</w:t>
            </w:r>
            <w:r>
              <w:rPr>
                <w:rFonts w:hint="eastAsia" w:ascii="宋体" w:hAnsi="宋体" w:cs="宋体"/>
                <w:bCs/>
                <w:szCs w:val="21"/>
              </w:rPr>
              <w:t>年以内的（20</w:t>
            </w:r>
            <w:r>
              <w:rPr>
                <w:rFonts w:ascii="宋体" w:hAnsi="宋体" w:cs="宋体"/>
                <w:bCs/>
                <w:szCs w:val="21"/>
              </w:rPr>
              <w:t>20</w:t>
            </w:r>
            <w:r>
              <w:rPr>
                <w:rFonts w:hint="eastAsia" w:ascii="宋体" w:hAnsi="宋体" w:cs="宋体"/>
                <w:bCs/>
                <w:szCs w:val="21"/>
              </w:rPr>
              <w:t>年12月1日至今，以车辆机动车行驶证注册日期为准），得</w:t>
            </w:r>
            <w:r>
              <w:rPr>
                <w:rFonts w:ascii="宋体" w:hAnsi="宋体" w:cs="宋体"/>
                <w:bCs/>
                <w:szCs w:val="21"/>
              </w:rPr>
              <w:t>16</w:t>
            </w:r>
            <w:r>
              <w:rPr>
                <w:rFonts w:hint="eastAsia" w:ascii="宋体" w:hAnsi="宋体" w:cs="宋体"/>
                <w:bCs/>
                <w:szCs w:val="21"/>
              </w:rPr>
              <w:t>-</w:t>
            </w:r>
            <w:r>
              <w:rPr>
                <w:rFonts w:ascii="宋体" w:hAnsi="宋体" w:cs="宋体"/>
                <w:bCs/>
                <w:szCs w:val="21"/>
              </w:rPr>
              <w:t>20</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第二档，组织管理机构健全、合理，车况良好、车辆功能配置较好，车辆购置年限在</w:t>
            </w:r>
            <w:r>
              <w:rPr>
                <w:rFonts w:ascii="宋体" w:hAnsi="宋体" w:cs="宋体"/>
                <w:bCs/>
                <w:szCs w:val="21"/>
              </w:rPr>
              <w:t>5</w:t>
            </w:r>
            <w:r>
              <w:rPr>
                <w:rFonts w:hint="eastAsia" w:ascii="宋体" w:hAnsi="宋体" w:cs="宋体"/>
                <w:bCs/>
                <w:szCs w:val="21"/>
              </w:rPr>
              <w:t>年以内的（201</w:t>
            </w:r>
            <w:r>
              <w:rPr>
                <w:rFonts w:ascii="宋体" w:hAnsi="宋体" w:cs="宋体"/>
                <w:bCs/>
                <w:szCs w:val="21"/>
              </w:rPr>
              <w:t>7</w:t>
            </w:r>
            <w:r>
              <w:rPr>
                <w:rFonts w:hint="eastAsia" w:ascii="宋体" w:hAnsi="宋体" w:cs="宋体"/>
                <w:bCs/>
                <w:szCs w:val="21"/>
              </w:rPr>
              <w:t>年12月1日至今，以车辆机动车行驶证注册日期为准），得</w:t>
            </w:r>
            <w:r>
              <w:rPr>
                <w:rFonts w:ascii="宋体" w:hAnsi="宋体" w:cs="宋体"/>
                <w:bCs/>
                <w:szCs w:val="21"/>
              </w:rPr>
              <w:t>12</w:t>
            </w:r>
            <w:r>
              <w:rPr>
                <w:rFonts w:hint="eastAsia" w:ascii="宋体" w:hAnsi="宋体" w:cs="宋体"/>
                <w:bCs/>
                <w:szCs w:val="21"/>
              </w:rPr>
              <w:t>-</w:t>
            </w:r>
            <w:r>
              <w:rPr>
                <w:rFonts w:ascii="宋体" w:hAnsi="宋体" w:cs="宋体"/>
                <w:bCs/>
                <w:szCs w:val="21"/>
              </w:rPr>
              <w:t>16</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第三档，组织管理机构和人员构成基本合理，车况良好、车辆功能配置一般，车辆购置年限在</w:t>
            </w:r>
            <w:r>
              <w:rPr>
                <w:rFonts w:ascii="宋体" w:hAnsi="宋体" w:cs="宋体"/>
                <w:bCs/>
                <w:szCs w:val="21"/>
              </w:rPr>
              <w:t>5</w:t>
            </w:r>
            <w:r>
              <w:rPr>
                <w:rFonts w:hint="eastAsia" w:ascii="宋体" w:hAnsi="宋体" w:cs="宋体"/>
                <w:bCs/>
                <w:szCs w:val="21"/>
              </w:rPr>
              <w:t>年以上的（201</w:t>
            </w:r>
            <w:r>
              <w:rPr>
                <w:rFonts w:ascii="宋体" w:hAnsi="宋体" w:cs="宋体"/>
                <w:bCs/>
                <w:szCs w:val="21"/>
              </w:rPr>
              <w:t>7</w:t>
            </w:r>
            <w:r>
              <w:rPr>
                <w:rFonts w:hint="eastAsia" w:ascii="宋体" w:hAnsi="宋体" w:cs="宋体"/>
                <w:bCs/>
                <w:szCs w:val="21"/>
              </w:rPr>
              <w:t>年1</w:t>
            </w:r>
            <w:r>
              <w:rPr>
                <w:rFonts w:ascii="宋体" w:hAnsi="宋体" w:cs="宋体"/>
                <w:bCs/>
                <w:szCs w:val="21"/>
              </w:rPr>
              <w:t>1</w:t>
            </w:r>
            <w:r>
              <w:rPr>
                <w:rFonts w:hint="eastAsia" w:ascii="宋体" w:hAnsi="宋体" w:cs="宋体"/>
                <w:bCs/>
                <w:szCs w:val="21"/>
              </w:rPr>
              <w:t>月31日及之前，以车辆机动车行驶证注册日期为准），得</w:t>
            </w:r>
            <w:r>
              <w:rPr>
                <w:rFonts w:ascii="宋体" w:hAnsi="宋体" w:cs="宋体"/>
                <w:bCs/>
                <w:szCs w:val="21"/>
              </w:rPr>
              <w:t>12</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实施计划及服务方案</w:t>
            </w:r>
          </w:p>
        </w:tc>
        <w:tc>
          <w:tcPr>
            <w:tcW w:w="843" w:type="dxa"/>
            <w:vAlign w:val="center"/>
          </w:tcPr>
          <w:p>
            <w:pPr>
              <w:snapToGrid w:val="0"/>
              <w:jc w:val="center"/>
              <w:rPr>
                <w:rFonts w:ascii="宋体" w:hAnsi="宋体" w:cs="宋体"/>
                <w:bCs/>
                <w:szCs w:val="21"/>
              </w:rPr>
            </w:pPr>
            <w:r>
              <w:rPr>
                <w:rFonts w:ascii="宋体" w:hAnsi="宋体" w:cs="宋体"/>
                <w:bCs/>
                <w:szCs w:val="21"/>
              </w:rPr>
              <w:t>25</w:t>
            </w:r>
            <w:r>
              <w:rPr>
                <w:rFonts w:hint="eastAsia" w:ascii="宋体" w:hAnsi="宋体" w:cs="宋体"/>
                <w:bCs/>
                <w:szCs w:val="21"/>
              </w:rPr>
              <w:t>分</w:t>
            </w:r>
          </w:p>
        </w:tc>
        <w:tc>
          <w:tcPr>
            <w:tcW w:w="5978" w:type="dxa"/>
            <w:vAlign w:val="center"/>
          </w:tcPr>
          <w:p>
            <w:pPr>
              <w:snapToGrid w:val="0"/>
              <w:rPr>
                <w:rFonts w:hint="eastAsia" w:ascii="宋体" w:hAnsi="宋体" w:cs="宋体"/>
                <w:bCs/>
                <w:szCs w:val="21"/>
              </w:rPr>
            </w:pPr>
            <w:r>
              <w:rPr>
                <w:rFonts w:hint="eastAsia" w:ascii="宋体" w:hAnsi="宋体" w:cs="宋体"/>
                <w:bCs/>
                <w:szCs w:val="21"/>
              </w:rPr>
              <w:t>第一档，实施计划科学合理，总体方案完整、内容齐全，有针对性，得20-25分；</w:t>
            </w:r>
          </w:p>
          <w:p>
            <w:pPr>
              <w:snapToGrid w:val="0"/>
              <w:rPr>
                <w:rFonts w:hint="eastAsia" w:ascii="宋体" w:hAnsi="宋体" w:cs="宋体"/>
                <w:bCs/>
                <w:szCs w:val="21"/>
              </w:rPr>
            </w:pPr>
            <w:r>
              <w:rPr>
                <w:rFonts w:hint="eastAsia" w:ascii="宋体" w:hAnsi="宋体" w:cs="宋体"/>
                <w:bCs/>
                <w:szCs w:val="21"/>
              </w:rPr>
              <w:t>第二档，实施计划较科学合理，总体方案较完整，得15-20分；</w:t>
            </w:r>
          </w:p>
          <w:p>
            <w:pPr>
              <w:snapToGrid w:val="0"/>
              <w:rPr>
                <w:rFonts w:hint="eastAsia" w:ascii="宋体" w:hAnsi="宋体" w:cs="宋体"/>
                <w:bCs/>
                <w:szCs w:val="21"/>
              </w:rPr>
            </w:pPr>
            <w:r>
              <w:rPr>
                <w:rFonts w:hint="eastAsia" w:ascii="宋体" w:hAnsi="宋体" w:cs="宋体"/>
                <w:bCs/>
                <w:szCs w:val="21"/>
              </w:rPr>
              <w:t>第三档，实施计划欠合理，总体方案一般，得15分。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日常管理标准及措施</w:t>
            </w:r>
          </w:p>
        </w:tc>
        <w:tc>
          <w:tcPr>
            <w:tcW w:w="843" w:type="dxa"/>
            <w:vAlign w:val="center"/>
          </w:tcPr>
          <w:p>
            <w:pPr>
              <w:snapToGrid w:val="0"/>
              <w:jc w:val="center"/>
              <w:rPr>
                <w:rFonts w:ascii="宋体" w:hAnsi="宋体" w:cs="宋体"/>
                <w:bCs/>
                <w:szCs w:val="21"/>
              </w:rPr>
            </w:pPr>
            <w:r>
              <w:rPr>
                <w:rFonts w:hint="eastAsia" w:ascii="宋体" w:hAnsi="宋体" w:cs="宋体"/>
                <w:bCs/>
                <w:szCs w:val="21"/>
              </w:rPr>
              <w:t>15分</w:t>
            </w:r>
          </w:p>
        </w:tc>
        <w:tc>
          <w:tcPr>
            <w:tcW w:w="5978" w:type="dxa"/>
            <w:vAlign w:val="center"/>
          </w:tcPr>
          <w:p>
            <w:pPr>
              <w:snapToGrid w:val="0"/>
              <w:rPr>
                <w:rFonts w:hint="eastAsia" w:ascii="宋体" w:hAnsi="宋体" w:cs="宋体"/>
                <w:bCs/>
                <w:szCs w:val="21"/>
              </w:rPr>
            </w:pPr>
            <w:r>
              <w:rPr>
                <w:rFonts w:hint="eastAsia" w:ascii="宋体" w:hAnsi="宋体" w:cs="宋体"/>
                <w:bCs/>
                <w:szCs w:val="21"/>
              </w:rPr>
              <w:t>第一档，科学合理，内容详细，得1</w:t>
            </w:r>
            <w:r>
              <w:rPr>
                <w:rFonts w:ascii="宋体" w:hAnsi="宋体" w:cs="宋体"/>
                <w:bCs/>
                <w:szCs w:val="21"/>
              </w:rPr>
              <w:t>2-15</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第二档，较科学合理，内容较详细，得</w:t>
            </w:r>
            <w:r>
              <w:rPr>
                <w:rFonts w:ascii="宋体" w:hAnsi="宋体" w:cs="宋体"/>
                <w:bCs/>
                <w:szCs w:val="21"/>
              </w:rPr>
              <w:t>9-12</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第三档，欠合理，内容一般，得</w:t>
            </w:r>
            <w:r>
              <w:rPr>
                <w:rFonts w:ascii="宋体" w:hAnsi="宋体" w:cs="宋体"/>
                <w:bCs/>
                <w:szCs w:val="21"/>
              </w:rPr>
              <w:t>9</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cs="宋体"/>
                <w:bCs/>
                <w:szCs w:val="21"/>
              </w:rPr>
            </w:pPr>
          </w:p>
        </w:tc>
        <w:tc>
          <w:tcPr>
            <w:tcW w:w="1124" w:type="dxa"/>
            <w:tcBorders>
              <w:left w:val="single" w:color="auto" w:sz="2" w:space="0"/>
            </w:tcBorders>
            <w:vAlign w:val="center"/>
          </w:tcPr>
          <w:p>
            <w:pPr>
              <w:snapToGrid w:val="0"/>
              <w:jc w:val="center"/>
              <w:rPr>
                <w:rFonts w:hint="eastAsia" w:ascii="宋体" w:hAnsi="宋体" w:cs="宋体"/>
                <w:bCs/>
                <w:szCs w:val="21"/>
              </w:rPr>
            </w:pPr>
            <w:r>
              <w:rPr>
                <w:rFonts w:hint="eastAsia" w:ascii="宋体" w:hAnsi="宋体" w:cs="宋体"/>
                <w:bCs/>
                <w:szCs w:val="21"/>
              </w:rPr>
              <w:t>内部规章制度及人员考核培训方案</w:t>
            </w:r>
          </w:p>
        </w:tc>
        <w:tc>
          <w:tcPr>
            <w:tcW w:w="843" w:type="dxa"/>
            <w:vAlign w:val="center"/>
          </w:tcPr>
          <w:p>
            <w:pPr>
              <w:snapToGrid w:val="0"/>
              <w:jc w:val="center"/>
              <w:rPr>
                <w:rFonts w:ascii="宋体" w:hAnsi="宋体" w:cs="宋体"/>
                <w:bCs/>
                <w:szCs w:val="21"/>
              </w:rPr>
            </w:pPr>
            <w:r>
              <w:rPr>
                <w:rFonts w:hint="eastAsia" w:ascii="宋体" w:hAnsi="宋体" w:cs="宋体"/>
                <w:bCs/>
                <w:szCs w:val="21"/>
              </w:rPr>
              <w:t>10分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第一档，科学合理、完善可行、有针对性，得</w:t>
            </w:r>
            <w:r>
              <w:rPr>
                <w:rFonts w:ascii="宋体" w:hAnsi="宋体" w:cs="宋体"/>
                <w:bCs/>
                <w:szCs w:val="21"/>
              </w:rPr>
              <w:t>8-10</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第二档，较科学、较完善可行、较有针对性，得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第三档，保证措施一般，得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服务承诺</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hint="eastAsia" w:ascii="宋体" w:hAnsi="宋体" w:cs="宋体"/>
                <w:bCs/>
                <w:szCs w:val="21"/>
              </w:rPr>
            </w:pPr>
            <w:r>
              <w:rPr>
                <w:rFonts w:hint="eastAsia" w:ascii="宋体" w:hAnsi="宋体" w:cs="宋体"/>
                <w:bCs/>
                <w:szCs w:val="21"/>
              </w:rPr>
              <w:t>第一档，服务承诺系统全面、科学合理，得8-10分；</w:t>
            </w:r>
          </w:p>
          <w:p>
            <w:pPr>
              <w:snapToGrid w:val="0"/>
              <w:rPr>
                <w:rFonts w:hint="eastAsia" w:ascii="宋体" w:hAnsi="宋体" w:cs="宋体"/>
                <w:bCs/>
                <w:szCs w:val="21"/>
              </w:rPr>
            </w:pPr>
            <w:r>
              <w:rPr>
                <w:rFonts w:hint="eastAsia" w:ascii="宋体" w:hAnsi="宋体" w:cs="宋体"/>
                <w:bCs/>
                <w:szCs w:val="21"/>
              </w:rPr>
              <w:t>第二档，服务承诺较完整、较科学，得6-8分；</w:t>
            </w:r>
          </w:p>
          <w:p>
            <w:pPr>
              <w:snapToGrid w:val="0"/>
              <w:rPr>
                <w:rFonts w:ascii="宋体" w:hAnsi="宋体" w:cs="宋体"/>
                <w:bCs/>
                <w:szCs w:val="21"/>
              </w:rPr>
            </w:pPr>
            <w:r>
              <w:rPr>
                <w:rFonts w:hint="eastAsia" w:ascii="宋体" w:hAnsi="宋体" w:cs="宋体"/>
                <w:bCs/>
                <w:szCs w:val="21"/>
              </w:rPr>
              <w:t>第三档，服务承诺不完整或不尽合理，得6分。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hint="eastAsia" w:ascii="宋体" w:hAnsi="宋体" w:cs="宋体"/>
                <w:bCs/>
                <w:szCs w:val="21"/>
              </w:rPr>
            </w:pPr>
            <w:r>
              <w:rPr>
                <w:rFonts w:ascii="宋体" w:hAnsi="宋体" w:cs="宋体"/>
                <w:bCs/>
                <w:szCs w:val="21"/>
              </w:rPr>
              <w:t>3</w:t>
            </w:r>
          </w:p>
        </w:tc>
        <w:tc>
          <w:tcPr>
            <w:tcW w:w="2154" w:type="dxa"/>
            <w:gridSpan w:val="2"/>
            <w:tcBorders>
              <w:left w:val="single" w:color="auto" w:sz="2" w:space="0"/>
            </w:tcBorders>
            <w:vAlign w:val="center"/>
          </w:tcPr>
          <w:p>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vAlign w:val="center"/>
          </w:tcPr>
          <w:p>
            <w:pPr>
              <w:rPr>
                <w:rFonts w:hint="eastAsia" w:ascii="宋体" w:hAnsi="宋体"/>
                <w:szCs w:val="21"/>
              </w:rPr>
            </w:pPr>
            <w:r>
              <w:rPr>
                <w:rFonts w:hint="eastAsia" w:ascii="宋体" w:hAnsi="宋体"/>
                <w:szCs w:val="21"/>
              </w:rPr>
              <w:t>评标价得分计算公式示例：</w:t>
            </w:r>
          </w:p>
          <w:p>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ascii="宋体" w:hAnsi="宋体" w:cs="宋体"/>
                <w:bCs/>
                <w:szCs w:val="21"/>
              </w:rPr>
            </w:pPr>
            <w:r>
              <w:rPr>
                <w:rFonts w:hint="eastAsia" w:ascii="宋体" w:hAnsi="宋体"/>
                <w:szCs w:val="21"/>
              </w:rPr>
              <w:t>其中，F=10；E1=0.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；评标价最低得分为0分。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cs="宋体"/>
                <w:bCs/>
                <w:szCs w:val="21"/>
              </w:rPr>
            </w:pPr>
            <w:r>
              <w:rPr>
                <w:rFonts w:hint="eastAsia" w:ascii="宋体" w:hAnsi="宋体" w:cs="宋体"/>
                <w:bCs/>
                <w:szCs w:val="21"/>
              </w:rPr>
              <w:t>合计</w:t>
            </w:r>
          </w:p>
        </w:tc>
        <w:tc>
          <w:tcPr>
            <w:tcW w:w="843" w:type="dxa"/>
            <w:vAlign w:val="center"/>
          </w:tcPr>
          <w:p>
            <w:pPr>
              <w:jc w:val="center"/>
              <w:rPr>
                <w:rFonts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pPr>
              <w:jc w:val="center"/>
              <w:rPr>
                <w:rFonts w:ascii="宋体" w:hAnsi="宋体" w:cs="宋体"/>
                <w:bCs/>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6E6D73"/>
    <w:rsid w:val="00657D95"/>
    <w:rsid w:val="006E6D73"/>
    <w:rsid w:val="00E61356"/>
    <w:rsid w:val="21FE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7"/>
    <w:qFormat/>
    <w:uiPriority w:val="9"/>
    <w:pPr>
      <w:keepNext/>
      <w:keepLines/>
      <w:spacing w:before="260" w:after="260" w:line="416" w:lineRule="auto"/>
      <w:outlineLvl w:val="1"/>
    </w:pPr>
    <w:rPr>
      <w:rFonts w:ascii="等线 Light" w:hAnsi="等线 Light" w:eastAsia="等线 Light"/>
      <w:b/>
      <w:kern w:val="0"/>
      <w:sz w:val="32"/>
      <w:szCs w:val="20"/>
    </w:rPr>
  </w:style>
  <w:style w:type="paragraph" w:styleId="3">
    <w:name w:val="heading 3"/>
    <w:basedOn w:val="1"/>
    <w:next w:val="1"/>
    <w:link w:val="8"/>
    <w:qFormat/>
    <w:uiPriority w:val="9"/>
    <w:pPr>
      <w:keepNext/>
      <w:keepLines/>
      <w:spacing w:before="260" w:after="260" w:line="416" w:lineRule="auto"/>
      <w:outlineLvl w:val="2"/>
    </w:pPr>
    <w:rPr>
      <w:b/>
      <w:kern w:val="0"/>
      <w:sz w:val="32"/>
      <w:szCs w:val="20"/>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Body Text"/>
    <w:basedOn w:val="1"/>
    <w:link w:val="10"/>
    <w:qFormat/>
    <w:uiPriority w:val="99"/>
    <w:pPr>
      <w:ind w:left="153"/>
      <w:jc w:val="left"/>
    </w:pPr>
    <w:rPr>
      <w:rFonts w:ascii="宋体" w:hAnsi="宋体"/>
      <w:kern w:val="0"/>
      <w:sz w:val="23"/>
      <w:szCs w:val="20"/>
      <w:lang w:eastAsia="en-US"/>
    </w:rPr>
  </w:style>
  <w:style w:type="character" w:customStyle="1" w:styleId="7">
    <w:name w:val="标题 2 字符"/>
    <w:basedOn w:val="6"/>
    <w:link w:val="2"/>
    <w:uiPriority w:val="9"/>
    <w:rPr>
      <w:rFonts w:ascii="等线 Light" w:hAnsi="等线 Light" w:eastAsia="等线 Light" w:cs="Times New Roman"/>
      <w:b/>
      <w:kern w:val="0"/>
      <w:sz w:val="32"/>
      <w:szCs w:val="20"/>
    </w:rPr>
  </w:style>
  <w:style w:type="character" w:customStyle="1" w:styleId="8">
    <w:name w:val="标题 3 字符"/>
    <w:basedOn w:val="6"/>
    <w:link w:val="3"/>
    <w:uiPriority w:val="9"/>
    <w:rPr>
      <w:rFonts w:ascii="Times New Roman" w:hAnsi="Times New Roman" w:eastAsia="宋体" w:cs="Times New Roman"/>
      <w:b/>
      <w:kern w:val="0"/>
      <w:sz w:val="32"/>
      <w:szCs w:val="20"/>
    </w:rPr>
  </w:style>
  <w:style w:type="character" w:customStyle="1" w:styleId="9">
    <w:name w:val="正文文本 字符"/>
    <w:basedOn w:val="6"/>
    <w:semiHidden/>
    <w:uiPriority w:val="99"/>
    <w:rPr>
      <w:rFonts w:ascii="Times New Roman" w:hAnsi="Times New Roman" w:eastAsia="宋体" w:cs="Times New Roman"/>
    </w:rPr>
  </w:style>
  <w:style w:type="character" w:customStyle="1" w:styleId="10">
    <w:name w:val="正文文本 字符3"/>
    <w:link w:val="4"/>
    <w:locked/>
    <w:uiPriority w:val="99"/>
    <w:rPr>
      <w:rFonts w:ascii="宋体" w:hAnsi="宋体" w:eastAsia="宋体" w:cs="Times New Roman"/>
      <w:kern w:val="0"/>
      <w:sz w:val="23"/>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3196</Words>
  <Characters>3423</Characters>
  <Lines>37</Lines>
  <Paragraphs>10</Paragraphs>
  <TotalTime>1</TotalTime>
  <ScaleCrop>false</ScaleCrop>
  <LinksUpToDate>false</LinksUpToDate>
  <CharactersWithSpaces>3487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2022-12-20T02:45:00Z</dcterms:created>
  <dc:creator>董 董</dc:creator>
  <cp:lastModifiedBy>丁燕</cp:lastModifiedBy>
  <dcterms:modified xsi:type="dcterms:W3CDTF">2022-12-20T03:07:14Z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10F7953293DE4D428DA42C0BB8C79487</vt:lpwstr>
  </property>
</Properties>
</file>