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GoBack"/>
      <w:bookmarkEnd w:id="2"/>
      <w:bookmarkStart w:id="0" w:name="_Toc18051"/>
      <w:bookmarkStart w:id="1" w:name="_Toc2825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附件1：资格审查条件</w:t>
      </w:r>
      <w:bookmarkEnd w:id="0"/>
    </w:p>
    <w:p>
      <w:pPr>
        <w:jc w:val="center"/>
        <w:rPr>
          <w:rStyle w:val="32"/>
          <w:rFonts w:ascii="宋体" w:hAnsi="宋体" w:eastAsia="宋体"/>
          <w:b/>
          <w:color w:val="auto"/>
          <w:highlight w:val="none"/>
        </w:rPr>
      </w:pPr>
      <w:r>
        <w:rPr>
          <w:rStyle w:val="32"/>
          <w:rFonts w:hint="eastAsia" w:ascii="宋体" w:hAnsi="宋体" w:eastAsia="宋体"/>
          <w:b/>
          <w:color w:val="auto"/>
          <w:highlight w:val="none"/>
        </w:rPr>
        <w:t>附录1  资格审查条件（资质最低条件）</w:t>
      </w:r>
    </w:p>
    <w:p>
      <w:pPr>
        <w:jc w:val="center"/>
        <w:rPr>
          <w:rStyle w:val="32"/>
          <w:rFonts w:ascii="宋体" w:hAnsi="宋体" w:eastAsia="宋体"/>
          <w:b/>
          <w:color w:val="auto"/>
          <w:highlight w:val="none"/>
        </w:rPr>
      </w:pPr>
    </w:p>
    <w:tbl>
      <w:tblPr>
        <w:tblStyle w:val="2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22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资质要求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3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本次招标要求投标人须具有独立法人资格，持有有效的企业法人营业执照，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并具有与本招标项目相应的供货能力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jc w:val="center"/>
        <w:rPr>
          <w:rStyle w:val="33"/>
          <w:rFonts w:ascii="宋体" w:hAnsi="宋体" w:eastAsia="宋体"/>
          <w:b/>
          <w:color w:val="auto"/>
          <w:highlight w:val="none"/>
        </w:rPr>
      </w:pPr>
    </w:p>
    <w:p>
      <w:pPr>
        <w:jc w:val="center"/>
        <w:rPr>
          <w:rStyle w:val="33"/>
          <w:rFonts w:ascii="宋体" w:hAnsi="宋体" w:eastAsia="宋体"/>
          <w:b/>
          <w:color w:val="auto"/>
          <w:sz w:val="18"/>
          <w:szCs w:val="18"/>
          <w:highlight w:val="none"/>
        </w:rPr>
      </w:pPr>
      <w:r>
        <w:rPr>
          <w:rStyle w:val="33"/>
          <w:rFonts w:hint="eastAsia" w:ascii="宋体" w:hAnsi="宋体" w:eastAsia="宋体"/>
          <w:b/>
          <w:color w:val="auto"/>
          <w:highlight w:val="none"/>
        </w:rPr>
        <w:t>附录</w:t>
      </w:r>
      <w:r>
        <w:rPr>
          <w:rStyle w:val="33"/>
          <w:rFonts w:ascii="宋体" w:hAnsi="宋体" w:eastAsia="宋体"/>
          <w:b/>
          <w:color w:val="auto"/>
          <w:highlight w:val="none"/>
        </w:rPr>
        <w:t xml:space="preserve">2 </w:t>
      </w:r>
      <w:r>
        <w:rPr>
          <w:rStyle w:val="33"/>
          <w:rFonts w:hint="eastAsia" w:ascii="宋体" w:hAnsi="宋体" w:eastAsia="宋体"/>
          <w:b/>
          <w:color w:val="auto"/>
          <w:highlight w:val="none"/>
        </w:rPr>
        <w:t xml:space="preserve"> 资格审查条件（</w:t>
      </w:r>
      <w:r>
        <w:rPr>
          <w:rFonts w:hint="eastAsia" w:ascii="宋体" w:hAnsi="宋体"/>
          <w:b/>
          <w:color w:val="auto"/>
          <w:sz w:val="24"/>
          <w:highlight w:val="none"/>
        </w:rPr>
        <w:t>业绩最低条件</w:t>
      </w:r>
      <w:r>
        <w:rPr>
          <w:rStyle w:val="33"/>
          <w:rFonts w:hint="eastAsia" w:ascii="宋体" w:hAnsi="宋体" w:eastAsia="宋体"/>
          <w:b/>
          <w:color w:val="auto"/>
          <w:highlight w:val="none"/>
        </w:rPr>
        <w:t>）</w:t>
      </w:r>
    </w:p>
    <w:p>
      <w:pPr>
        <w:rPr>
          <w:rFonts w:ascii="宋体" w:hAnsi="宋体"/>
          <w:b/>
          <w:color w:val="auto"/>
          <w:sz w:val="18"/>
          <w:szCs w:val="18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业绩要求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近五年内（自2017年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1日至今，以合同签订日期为准）至少具有1项类似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项目供货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highlight w:val="none"/>
        </w:rPr>
        <w:t>3</w:t>
      </w:r>
      <w:r>
        <w:rPr>
          <w:rFonts w:hint="eastAsia" w:ascii="宋体" w:hAnsi="宋体"/>
          <w:b/>
          <w:color w:val="auto"/>
          <w:sz w:val="24"/>
          <w:highlight w:val="none"/>
        </w:rPr>
        <w:t xml:space="preserve">  资格审查条件（信誉最低条件）</w:t>
      </w:r>
    </w:p>
    <w:p>
      <w:pPr>
        <w:pStyle w:val="8"/>
        <w:rPr>
          <w:color w:val="auto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信誉要求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在国家企业信用信息公示系统（http://www.gsxt.gov.cn/）中被列入严重违法失信名单（不包括分公司）的、在“信用中国”网站（http://www.creditchina.gov.cn/）中被列入失信被执行人、异常经营名录、税收违法黑名单和政府采购严重违法失信行为记录名单（均不包括分公司）的投标人，不得参加投标。投标人或其法定代表人在近三年（2019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1日至今）内有行贿犯罪行为的，不得参加投标。投标人过去1年（2021年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1日至今）不曾在项目中违约而被驱逐或因投标人自身的原因而使合同被解除。</w:t>
            </w:r>
          </w:p>
        </w:tc>
      </w:tr>
    </w:tbl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24"/>
          <w:highlight w:val="none"/>
        </w:rPr>
        <w:t xml:space="preserve">  资格审查条件（其他最低条件）</w:t>
      </w:r>
    </w:p>
    <w:p>
      <w:pPr>
        <w:pStyle w:val="8"/>
        <w:rPr>
          <w:color w:val="auto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ascii="宋体" w:hAnsi="宋体"/>
                <w:color w:val="auto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ascii="宋体" w:hAnsi="宋体"/>
                <w:color w:val="auto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与招标人存在利害关系可能影响招标公正性的单位，不得参加投标。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单位负责人为同一人或者存在控股、管理关系的不同单位，不得参加同一标段投标，否则，相关投标均无效。</w:t>
            </w:r>
          </w:p>
        </w:tc>
      </w:tr>
    </w:tbl>
    <w:p>
      <w:pPr>
        <w:pStyle w:val="21"/>
        <w:rPr>
          <w:rFonts w:ascii="宋体" w:hAnsi="宋体"/>
          <w:b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附件2：评标办法前附表</w:t>
      </w:r>
    </w:p>
    <w:tbl>
      <w:tblPr>
        <w:tblStyle w:val="2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2"/>
        <w:gridCol w:w="1317"/>
        <w:gridCol w:w="6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5" w:hRule="atLeast"/>
          <w:tblHeader/>
          <w:jc w:val="center"/>
        </w:trPr>
        <w:tc>
          <w:tcPr>
            <w:tcW w:w="21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评审因素与评审标准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评标办法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次评标采用综合评估法。评标委员会对满足招标文件实质性要求的投标文件，按照本章第2.2款规定的评分标准进行打分，并按得分由高到低顺序推荐1-3名中标候选人。综合评分相等时，评标委员会依次按照以下优先顺序推荐中标候选人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（1）评标价低的投标人优先；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（2）技术得分较高的投标人优先；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（3）投标人近5年内满足资格审查条件（业绩最低条件）要求的业绩累计金额高的优先。</w:t>
            </w:r>
          </w:p>
          <w:p>
            <w:pPr>
              <w:pStyle w:val="8"/>
              <w:keepNext w:val="0"/>
              <w:keepLines w:val="0"/>
              <w:suppressLineNumbers w:val="0"/>
              <w:spacing w:before="0" w:beforeAutospacing="0" w:afterAutospacing="0" w:line="320" w:lineRule="exact"/>
              <w:ind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通过第一信封商务、技术文件评审的投标人少于3个的，评标委员会可以否决全部投标；未否决全部投标的，评标委员会应当在评标报告中阐明理由；通过第二信封报价文件评审的投标人少于3个的，评标委员会可以否决全部投标；未否决全部投标的，评标委员会应当在评标报告中阐明理由并推荐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2.1.1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形式评审与响应性评审标准</w:t>
            </w:r>
          </w:p>
        </w:tc>
        <w:tc>
          <w:tcPr>
            <w:tcW w:w="690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第一个信封（商务及技术文件）评审标准：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（1）投标文件按照招标文件规定的格式、内容填写，字迹清晰可辨：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a.投标函按招标文件规定填报了项目名称、标段号、补遗书编号（如有）、交货期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、交货地点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及质量标准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b.投标文件组成齐全完整，内容均按规定填写。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（2）投标文件上法定代表人或其委托代理人的签字、投标人的单位章盖章齐全，符合招标文件规定。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（3）投标人法定代表人授权委托代理人签署投标文件的，须提交授权委托书，授权委托书的签字盖章符合招标文件规定，授权委托书只能授权给一名委托代理人。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）投标人法定代表人亲自签署投标文件的，提供了法定代表人身份证明，法定代表人身份证明的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盖章符合招标文件规定。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）投标人未以联合体形式投标。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）投标人未对本项目提出分包计划。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）同一投标人未提交两个以上不同的投标文件。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）投标文件中未出现有关投标报价的内容。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）投标文件载明的招标项目完成期限未超过招标文件规定的时限。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）投标文件对招标文件的实质性要求和条件作出响应。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）权利义务符合招标文件规定：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a.投标人应接受招标文件规定的风险划分原则，未提出新的风险划分办法；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b.投标人未增加委托人的责任范围，或减少投标人义务；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c.投标人未提出不同的支付办法；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d.投标人对合同纠纷、事故处理办法未提出异议；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e.投标人在投标活动中无欺诈行为；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f.投标人未对合同条款有重要保留。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第二个信封（报价文件）评审标准：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（1）投标文件按照招标文件规定的格式、内容填写，字迹清晰可辨，内容齐全完整：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a.投标函按招标文件规定填报了项目名称、标段号、补遗书编号（如有）、投标价（包括大写金额和小写金额）；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b．投标文件组成齐全完整，内容均按规定填写。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（2）投标文件上法定代表人或其委托代理人的签字、投标人的单位章盖章齐全，符合招标文件规定。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（3）投标报价中的报价未超过招标文件设定的最高投标限价。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（4）投标报价中报价的大写金额能够确定具体数值。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（5）同一投标人未提交两个以上不同的投标报价。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资格评审标准</w:t>
            </w:r>
          </w:p>
        </w:tc>
        <w:tc>
          <w:tcPr>
            <w:tcW w:w="690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（1）投标人具备有效的企业法人营业执照和基本账户开户许可证（或基本存款账户信息）；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（2）投标人的类似项目业绩符合招标文件规定；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（3）投标人的信誉符合招标文件规定；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（4）投标人不存在第二章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投标人须知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第1.4.3项规定的任何一种情形。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条款内容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第一个信封（商务及技术文件）评分分值构成：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商务部分：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技术部分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    它：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第二个信封（报价文件）评分分值构成：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 标 价：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评标基准价计算方法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评标基准价=评标价的平均值（即通过初步评审的所有投标人评标价格的算术平均值，评标基准价保留小数点后两位，小数点后第三位“四舍五入”）。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评标价的偏差率计算公式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偏差率=100%×（投标人评标价-评标基准价）/评标基准价</w:t>
            </w:r>
          </w:p>
        </w:tc>
      </w:tr>
    </w:tbl>
    <w:p>
      <w:pPr>
        <w:snapToGrid w:val="0"/>
        <w:spacing w:line="360" w:lineRule="auto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tbl>
      <w:tblPr>
        <w:tblStyle w:val="22"/>
        <w:tblW w:w="90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602"/>
        <w:gridCol w:w="567"/>
        <w:gridCol w:w="1086"/>
        <w:gridCol w:w="928"/>
        <w:gridCol w:w="53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Header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评分因素权重分值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各评分因素细分项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53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2.2.4（1）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商务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部分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投标人业绩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满足投标人须知附录2资格审查条件（业绩最低条件）得15分。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投标人每增加一个满足投标人须知附录2资格审查条件（业绩最低条件）的业绩加5分，本项最高得10分。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2.2.4（2）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技术部分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货物整体质量及技术指标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货物整体质量好，技术指标先进、优于招标文件要求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12.1-15分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货物整体质量较好，技术指标较先进、满足招标文件要求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9.1-12分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货物整体质量及技术指标一般                     9分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供货进度计划及保证措施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科学合理、可行性强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较合理、可行性较强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质量保证措施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科学合理、可行性强          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较合理、可行性较强          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售后服务承诺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完善，可行性强              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较完善，可行性较强          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2.2.4（3）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投标报价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评标价得分计算公式：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（1）如果投标人的评标价＞评标基准价，则评标价得分=F-（投标人投标价-评标基准价）/评标基准价×100×E1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（2）如果投标人的评标价≤评标基准价，则评标价得分=F+（投标人投标价-评标基准价）/评标基准价×100×E2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其中，F=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；E1=0.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；E2=0.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；评标价最低得分为0分。</w:t>
            </w:r>
          </w:p>
          <w:p>
            <w:pPr>
              <w:pStyle w:val="8"/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评标价得分分值计算保留小数点后两位，小数点后第三位“四舍五入”。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2.2.4（4）</w:t>
            </w:r>
          </w:p>
        </w:tc>
        <w:tc>
          <w:tcPr>
            <w:tcW w:w="6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其他因素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108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tabs>
          <w:tab w:val="left" w:pos="2388"/>
          <w:tab w:val="left" w:pos="2832"/>
          <w:tab w:val="left" w:pos="3472"/>
          <w:tab w:val="left" w:pos="6667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注：1、各评分因素得分应以评标委员会各成员的打分平均值确定，保留两位小数，小数点后第三位“四舍五入”。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2388"/>
          <w:tab w:val="left" w:pos="2832"/>
          <w:tab w:val="left" w:pos="3472"/>
          <w:tab w:val="left" w:pos="6667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2、</w:t>
      </w:r>
      <w:r>
        <w:rPr>
          <w:rFonts w:hint="eastAsia" w:cs="宋体"/>
          <w:color w:val="auto"/>
          <w:highlight w:val="none"/>
          <w:lang w:eastAsia="zh-CN"/>
        </w:rPr>
        <w:t>技术部分</w:t>
      </w:r>
      <w:r>
        <w:rPr>
          <w:rFonts w:hint="eastAsia" w:ascii="宋体" w:hAnsi="宋体" w:eastAsia="宋体" w:cs="宋体"/>
          <w:color w:val="auto"/>
          <w:highlight w:val="none"/>
        </w:rPr>
        <w:t>评分因素细分项存在缺项的，则该项计0分。</w:t>
      </w:r>
    </w:p>
    <w:p>
      <w:pPr>
        <w:autoSpaceDE/>
        <w:autoSpaceDN/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br w:type="page"/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采购清单</w:t>
      </w:r>
    </w:p>
    <w:p>
      <w:pPr>
        <w:autoSpaceDE w:val="0"/>
        <w:autoSpaceDN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一标段</w:t>
      </w:r>
    </w:p>
    <w:tbl>
      <w:tblPr>
        <w:tblStyle w:val="22"/>
        <w:tblW w:w="9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38"/>
        <w:gridCol w:w="1095"/>
        <w:gridCol w:w="2914"/>
        <w:gridCol w:w="1457"/>
        <w:gridCol w:w="1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材质、规格型号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荧光防护服（棉）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荧光黄300D牛津布面料、PU图层、可拆卸丝绵内胆、前后3道TC高亮反光条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棉鞋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2017款、3514军款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皮棉手套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白色仿皮带反光条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棉帽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栽绒款、带警徽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脖套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Style w:val="34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100%纯棉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Style w:val="34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Style w:val="34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执勤水壶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2L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冬执勤服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交警款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冬裤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交警款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棉被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1.5m*2m 填充物棉花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棉褥子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1.9m*0.9m填充物棉花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被罩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1.5m*2m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床单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1.2m*2.1m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床垫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1.9m*0.9m椰棕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枕头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100%纯棉面料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枕巾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100%纯棉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autoSpaceDE/>
        <w:autoSpaceDN/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br w:type="page"/>
      </w:r>
    </w:p>
    <w:p>
      <w:pPr>
        <w:autoSpaceDE w:val="0"/>
        <w:autoSpaceDN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二标段</w:t>
      </w:r>
    </w:p>
    <w:tbl>
      <w:tblPr>
        <w:tblStyle w:val="22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15"/>
        <w:gridCol w:w="1038"/>
        <w:gridCol w:w="2900"/>
        <w:gridCol w:w="131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材质、规格型号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肩灯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雷电4号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手提探照灯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BJQ6071手提式防爆灯，防水IP66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交通提示牌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1.2*1.8米，2*4方管铝塑板贴反光膜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发光停车牌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充电式，带警笛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发光指挥棒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充电式，带警笛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太阳能雾灯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黄色爆闪，可视距离1000米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疲劳驾驶提示灯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红蓝爆闪、语音提示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413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bookmarkEnd w:id="1"/>
    </w:tbl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</w:p>
    <w:sectPr>
      <w:footerReference r:id="rId5" w:type="default"/>
      <w:pgSz w:w="11905" w:h="16838"/>
      <w:pgMar w:top="1417" w:right="1417" w:bottom="1417" w:left="1417" w:header="720" w:footer="113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WJkYjJiZWE1ZjgxYjZiNjQyMjE2ZGNmNGI1MjdhZjEifQ=="/>
  </w:docVars>
  <w:rsids>
    <w:rsidRoot w:val="00172A27"/>
    <w:rsid w:val="0177466E"/>
    <w:rsid w:val="04B840EC"/>
    <w:rsid w:val="060F2843"/>
    <w:rsid w:val="0AC4603E"/>
    <w:rsid w:val="10D51921"/>
    <w:rsid w:val="14FE1966"/>
    <w:rsid w:val="1F2B0ACE"/>
    <w:rsid w:val="208D6174"/>
    <w:rsid w:val="29815664"/>
    <w:rsid w:val="29A8465F"/>
    <w:rsid w:val="2A79759D"/>
    <w:rsid w:val="31FA26E0"/>
    <w:rsid w:val="343A3FBE"/>
    <w:rsid w:val="347E0895"/>
    <w:rsid w:val="39606368"/>
    <w:rsid w:val="41300C6E"/>
    <w:rsid w:val="42AA7B92"/>
    <w:rsid w:val="45377E05"/>
    <w:rsid w:val="470A360E"/>
    <w:rsid w:val="473448FD"/>
    <w:rsid w:val="49B27B2C"/>
    <w:rsid w:val="49D61DB0"/>
    <w:rsid w:val="4B535065"/>
    <w:rsid w:val="4B5A31E5"/>
    <w:rsid w:val="4B6F5F56"/>
    <w:rsid w:val="4B8A31C1"/>
    <w:rsid w:val="4D1772B4"/>
    <w:rsid w:val="530A1201"/>
    <w:rsid w:val="538E6491"/>
    <w:rsid w:val="59EB3823"/>
    <w:rsid w:val="5AFA603A"/>
    <w:rsid w:val="5BE17E58"/>
    <w:rsid w:val="5D293EDB"/>
    <w:rsid w:val="61055278"/>
    <w:rsid w:val="633354C1"/>
    <w:rsid w:val="64D45AEA"/>
    <w:rsid w:val="64E519FB"/>
    <w:rsid w:val="677565A3"/>
    <w:rsid w:val="696426E7"/>
    <w:rsid w:val="6D7279C2"/>
    <w:rsid w:val="6F1E18E3"/>
    <w:rsid w:val="72244576"/>
    <w:rsid w:val="74FB37BF"/>
    <w:rsid w:val="76404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"/>
      <w:outlineLvl w:val="1"/>
    </w:pPr>
    <w:rPr>
      <w:rFonts w:ascii="Microsoft JhengHei" w:hAnsi="Microsoft JhengHei" w:eastAsia="Microsoft JhengHei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237"/>
      <w:outlineLvl w:val="3"/>
    </w:pPr>
    <w:rPr>
      <w:rFonts w:ascii="宋体" w:hAnsi="宋体" w:eastAsia="宋体"/>
      <w:sz w:val="28"/>
      <w:szCs w:val="28"/>
    </w:rPr>
  </w:style>
  <w:style w:type="paragraph" w:styleId="5">
    <w:name w:val="heading 4"/>
    <w:basedOn w:val="1"/>
    <w:next w:val="1"/>
    <w:qFormat/>
    <w:uiPriority w:val="1"/>
    <w:pPr>
      <w:ind w:left="522"/>
      <w:outlineLvl w:val="4"/>
    </w:pPr>
    <w:rPr>
      <w:rFonts w:ascii="Times New Roman" w:hAnsi="Times New Roman" w:eastAsia="Times New Roman"/>
      <w:b/>
      <w:bCs/>
      <w:sz w:val="21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20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100"/>
    </w:pPr>
    <w:rPr>
      <w:rFonts w:ascii="宋体" w:hAnsi="宋体" w:eastAsia="宋体"/>
      <w:sz w:val="21"/>
      <w:szCs w:val="21"/>
    </w:rPr>
  </w:style>
  <w:style w:type="paragraph" w:styleId="9">
    <w:name w:val="Body Text 2"/>
    <w:basedOn w:val="1"/>
    <w:next w:val="1"/>
    <w:unhideWhenUsed/>
    <w:qFormat/>
    <w:uiPriority w:val="99"/>
    <w:pPr>
      <w:spacing w:after="120" w:line="480" w:lineRule="auto"/>
    </w:pPr>
    <w:rPr>
      <w:rFonts w:eastAsia="等线"/>
    </w:rPr>
  </w:style>
  <w:style w:type="paragraph" w:styleId="10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1">
    <w:name w:val="Block Text"/>
    <w:basedOn w:val="1"/>
    <w:qFormat/>
    <w:uiPriority w:val="0"/>
    <w:pPr>
      <w:spacing w:line="400" w:lineRule="exact"/>
      <w:ind w:left="2" w:right="12" w:firstLine="412" w:firstLineChars="179"/>
    </w:pPr>
    <w:rPr>
      <w:rFonts w:ascii="宋体" w:hAnsi="宋体"/>
      <w:sz w:val="23"/>
      <w:szCs w:val="20"/>
    </w:rPr>
  </w:style>
  <w:style w:type="paragraph" w:styleId="12">
    <w:name w:val="toc 3"/>
    <w:basedOn w:val="1"/>
    <w:next w:val="1"/>
    <w:qFormat/>
    <w:uiPriority w:val="1"/>
    <w:pPr>
      <w:ind w:left="940"/>
    </w:pPr>
    <w:rPr>
      <w:rFonts w:ascii="宋体" w:hAnsi="宋体" w:eastAsia="宋体"/>
      <w:sz w:val="21"/>
      <w:szCs w:val="21"/>
    </w:rPr>
  </w:style>
  <w:style w:type="paragraph" w:styleId="13">
    <w:name w:val="Plain Text"/>
    <w:basedOn w:val="1"/>
    <w:qFormat/>
    <w:uiPriority w:val="99"/>
    <w:rPr>
      <w:rFonts w:ascii="宋体" w:hAnsi="Courier New"/>
      <w:kern w:val="0"/>
      <w:sz w:val="20"/>
      <w:szCs w:val="20"/>
    </w:rPr>
  </w:style>
  <w:style w:type="paragraph" w:styleId="14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15">
    <w:name w:val="Body Text Indent 2"/>
    <w:basedOn w:val="1"/>
    <w:qFormat/>
    <w:uiPriority w:val="0"/>
    <w:pPr>
      <w:spacing w:beforeLines="150" w:afterLines="150" w:line="480" w:lineRule="auto"/>
      <w:ind w:firstLine="573"/>
    </w:pPr>
    <w:rPr>
      <w:rFonts w:ascii="宋体" w:hAnsi="宋体"/>
      <w:sz w:val="2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1"/>
    <w:pPr>
      <w:ind w:left="100"/>
    </w:pPr>
    <w:rPr>
      <w:rFonts w:ascii="宋体" w:hAnsi="宋体" w:eastAsia="宋体"/>
      <w:sz w:val="21"/>
      <w:szCs w:val="21"/>
    </w:rPr>
  </w:style>
  <w:style w:type="paragraph" w:styleId="19">
    <w:name w:val="toc 2"/>
    <w:basedOn w:val="1"/>
    <w:next w:val="1"/>
    <w:qFormat/>
    <w:uiPriority w:val="1"/>
    <w:pPr>
      <w:ind w:left="520"/>
    </w:pPr>
    <w:rPr>
      <w:rFonts w:ascii="宋体" w:hAnsi="宋体" w:eastAsia="宋体"/>
      <w:sz w:val="21"/>
      <w:szCs w:val="21"/>
    </w:rPr>
  </w:style>
  <w:style w:type="paragraph" w:styleId="2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21">
    <w:name w:val="Body Text First Indent 2"/>
    <w:basedOn w:val="10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1"/>
  </w:style>
  <w:style w:type="paragraph" w:customStyle="1" w:styleId="26">
    <w:name w:val="Table Paragraph"/>
    <w:basedOn w:val="1"/>
    <w:qFormat/>
    <w:uiPriority w:val="1"/>
  </w:style>
  <w:style w:type="paragraph" w:customStyle="1" w:styleId="27">
    <w:name w:val="可研封面-公司"/>
    <w:next w:val="28"/>
    <w:qFormat/>
    <w:uiPriority w:val="0"/>
    <w:pPr>
      <w:jc w:val="center"/>
    </w:pPr>
    <w:rPr>
      <w:rFonts w:ascii="黑体" w:hAnsi="黑体" w:eastAsia="黑体" w:cs="Times New Roman"/>
      <w:color w:val="2F5496"/>
      <w:w w:val="80"/>
      <w:kern w:val="2"/>
      <w:sz w:val="72"/>
      <w:szCs w:val="72"/>
      <w:lang w:val="en-US" w:eastAsia="zh-CN" w:bidi="ar-SA"/>
    </w:rPr>
  </w:style>
  <w:style w:type="paragraph" w:styleId="28">
    <w:name w:val="No Spacing"/>
    <w:qFormat/>
    <w:uiPriority w:val="1"/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29">
    <w:name w:val="正文部分 Char Char Char"/>
    <w:basedOn w:val="8"/>
    <w:next w:val="30"/>
    <w:qFormat/>
    <w:uiPriority w:val="99"/>
    <w:pPr>
      <w:spacing w:line="460" w:lineRule="exact"/>
      <w:textAlignment w:val="baseline"/>
    </w:pPr>
    <w:rPr>
      <w:sz w:val="24"/>
    </w:rPr>
  </w:style>
  <w:style w:type="paragraph" w:customStyle="1" w:styleId="30">
    <w:name w:val="章标题"/>
    <w:basedOn w:val="20"/>
    <w:qFormat/>
    <w:uiPriority w:val="99"/>
    <w:pPr>
      <w:spacing w:line="360" w:lineRule="auto"/>
    </w:pPr>
  </w:style>
  <w:style w:type="character" w:customStyle="1" w:styleId="31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character" w:customStyle="1" w:styleId="33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character" w:customStyle="1" w:styleId="34">
    <w:name w:val="font4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3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2961</Words>
  <Characters>3283</Characters>
  <TotalTime>22</TotalTime>
  <ScaleCrop>false</ScaleCrop>
  <LinksUpToDate>false</LinksUpToDate>
  <CharactersWithSpaces>3544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2018-02-06T16:21:00Z</dcterms:created>
  <dc:creator>袁静</dc:creator>
  <cp:lastModifiedBy>丁燕</cp:lastModifiedBy>
  <cp:lastPrinted>2022-12-19T09:12:00Z</cp:lastPrinted>
  <dcterms:modified xsi:type="dcterms:W3CDTF">2022-12-20T01:10:21Z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F63BBBE832F945F299A1FFBEFF80D793</vt:lpwstr>
  </property>
</Properties>
</file>