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4"/>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10"/>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72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725"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具备独立法人资格，具有有效企业营业执照；</w:t>
            </w:r>
          </w:p>
          <w:p>
            <w:pPr>
              <w:spacing w:line="288" w:lineRule="auto"/>
              <w:ind w:firstLine="420" w:firstLineChars="200"/>
              <w:rPr>
                <w:rFonts w:ascii="宋体" w:hAnsi="宋体"/>
                <w:szCs w:val="21"/>
              </w:rPr>
            </w:pPr>
            <w:r>
              <w:rPr>
                <w:rFonts w:hint="eastAsia" w:ascii="宋体" w:hAnsi="宋体"/>
                <w:szCs w:val="21"/>
              </w:rPr>
              <w:t>具备道路运输经营许可证且经营范围须包含县际包车客运或市际包车客运或省际包车客运。</w:t>
            </w:r>
          </w:p>
        </w:tc>
      </w:tr>
    </w:tbl>
    <w:p>
      <w:pPr>
        <w:jc w:val="center"/>
        <w:rPr>
          <w:rFonts w:ascii="宋体" w:hAnsi="宋体"/>
          <w:b/>
          <w:sz w:val="28"/>
        </w:rPr>
      </w:pPr>
    </w:p>
    <w:tbl>
      <w:tblPr>
        <w:tblStyle w:val="10"/>
        <w:tblpPr w:leftFromText="180" w:rightFromText="180" w:vertAnchor="text" w:horzAnchor="page" w:tblpXSpec="center" w:tblpY="546"/>
        <w:tblOverlap w:val="never"/>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6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bookmarkStart w:id="0" w:name="_GoBack"/>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6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r>
              <w:rPr>
                <w:rFonts w:hint="eastAsia" w:ascii="宋体" w:hAnsi="宋体" w:cs="宋体"/>
              </w:rPr>
              <w:t>近3年内（2019年12月1日至今，以合同签订时间为准）投标人至少承担过一项客车租赁服务项目业绩。</w:t>
            </w:r>
          </w:p>
        </w:tc>
      </w:tr>
      <w:bookmarkEnd w:id="0"/>
    </w:tbl>
    <w:p>
      <w:pPr>
        <w:pStyle w:val="4"/>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p>
      <w:pPr>
        <w:jc w:val="center"/>
        <w:rPr>
          <w:rFonts w:ascii="宋体" w:hAnsi="宋体"/>
          <w:b/>
          <w:sz w:val="24"/>
        </w:rPr>
      </w:pPr>
    </w:p>
    <w:p>
      <w:pPr>
        <w:pStyle w:val="4"/>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10"/>
        <w:tblW w:w="8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866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866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21</w:t>
            </w:r>
            <w:r>
              <w:rPr>
                <w:rFonts w:hint="eastAsia" w:ascii="宋体" w:hAnsi="宋体"/>
              </w:rPr>
              <w:t>年12月1日至今)</w:t>
            </w:r>
            <w:r>
              <w:rPr>
                <w:rFonts w:hint="eastAsia" w:ascii="宋体" w:hAnsi="宋体"/>
                <w:szCs w:val="21"/>
              </w:rPr>
              <w:t>不曾在合同中违约而被驱逐或因投标人自身的原因而使合同被解除。</w:t>
            </w:r>
          </w:p>
        </w:tc>
      </w:tr>
    </w:tbl>
    <w:p>
      <w:pPr>
        <w:spacing w:line="360" w:lineRule="exact"/>
        <w:jc w:val="left"/>
        <w:rPr>
          <w:rFonts w:ascii="宋体" w:hAnsi="宋体"/>
          <w:b/>
          <w:sz w:val="24"/>
        </w:rPr>
      </w:pPr>
    </w:p>
    <w:p>
      <w:pPr>
        <w:spacing w:line="360" w:lineRule="exact"/>
        <w:jc w:val="left"/>
        <w:rPr>
          <w:rFonts w:ascii="宋体" w:hAnsi="宋体"/>
          <w:b/>
          <w:sz w:val="24"/>
        </w:rPr>
      </w:pPr>
    </w:p>
    <w:p>
      <w:pPr>
        <w:adjustRightInd w:val="0"/>
        <w:spacing w:line="400" w:lineRule="atLeast"/>
        <w:ind w:firstLine="367" w:firstLineChars="175"/>
        <w:rPr>
          <w:rFonts w:ascii="宋体" w:hAnsi="宋体"/>
          <w:sz w:val="24"/>
          <w:szCs w:val="24"/>
        </w:rPr>
      </w:pPr>
      <w:r>
        <w:rPr>
          <w:rFonts w:ascii="宋体" w:hAnsi="宋体"/>
        </w:rPr>
        <w:br w:type="page"/>
      </w:r>
      <w:r>
        <w:rPr>
          <w:rFonts w:hint="eastAsia" w:ascii="宋体" w:hAnsi="宋体"/>
          <w:b/>
          <w:bCs/>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10"/>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ascii="宋体" w:hAnsi="宋体"/>
                <w:szCs w:val="21"/>
              </w:rPr>
            </w:pPr>
            <w:r>
              <w:rPr>
                <w:rFonts w:hint="eastAsia" w:ascii="宋体" w:hAnsi="宋体"/>
                <w:szCs w:val="21"/>
              </w:rPr>
              <w:t>（2）技术得分较高的投标人优先；</w:t>
            </w:r>
          </w:p>
          <w:p>
            <w:pPr>
              <w:widowControl/>
              <w:spacing w:line="360" w:lineRule="exact"/>
              <w:ind w:firstLine="420" w:firstLineChars="200"/>
              <w:jc w:val="left"/>
              <w:rPr>
                <w:rFonts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p>
            <w:pPr>
              <w:widowControl/>
              <w:spacing w:line="360" w:lineRule="exact"/>
              <w:ind w:firstLine="420" w:firstLineChars="200"/>
              <w:jc w:val="left"/>
              <w:rPr>
                <w:rFonts w:ascii="宋体" w:hAnsi="宋体"/>
                <w:szCs w:val="21"/>
              </w:rPr>
            </w:pPr>
            <w:r>
              <w:rPr>
                <w:rFonts w:hint="eastAsia" w:ascii="宋体" w:hAnsi="宋体"/>
                <w:szCs w:val="21"/>
              </w:rPr>
              <w:t xml:space="preserve"> </w:t>
            </w:r>
            <w:r>
              <w:rPr>
                <w:rFonts w:hint="eastAsia" w:ascii="宋体" w:hAnsi="宋体" w:cs="宋体"/>
                <w:color w:val="000000"/>
                <w:szCs w:val="21"/>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40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400" w:lineRule="exact"/>
              <w:ind w:firstLine="420" w:firstLineChars="200"/>
              <w:jc w:val="left"/>
              <w:rPr>
                <w:rFonts w:ascii="宋体" w:hAnsi="宋体"/>
                <w:szCs w:val="21"/>
              </w:rPr>
            </w:pPr>
            <w:r>
              <w:rPr>
                <w:rFonts w:hint="eastAsia" w:ascii="宋体" w:hAnsi="宋体"/>
                <w:szCs w:val="21"/>
              </w:rPr>
              <w:t>a．投标函按招标文件规定填报了项目名称、补遗书编号（如有）、服务期限、质量要求及安全目标；</w:t>
            </w:r>
          </w:p>
          <w:p>
            <w:pPr>
              <w:widowControl/>
              <w:spacing w:line="40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40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widowControl/>
              <w:spacing w:line="400" w:lineRule="exact"/>
              <w:ind w:firstLine="420" w:firstLineChars="200"/>
              <w:jc w:val="left"/>
              <w:rPr>
                <w:rFonts w:ascii="宋体" w:hAnsi="宋体"/>
                <w:szCs w:val="21"/>
              </w:rPr>
            </w:pPr>
            <w:r>
              <w:rPr>
                <w:rFonts w:hint="eastAsia" w:ascii="宋体" w:hAnsi="宋体"/>
                <w:szCs w:val="21"/>
              </w:rPr>
              <w:t>（3）投标人按照招标文件的规定提供了投标保证金：</w:t>
            </w:r>
          </w:p>
          <w:p>
            <w:pPr>
              <w:tabs>
                <w:tab w:val="left" w:pos="3060"/>
              </w:tabs>
              <w:spacing w:line="400" w:lineRule="exact"/>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400" w:lineRule="exact"/>
              <w:ind w:firstLine="525" w:firstLineChars="250"/>
              <w:rPr>
                <w:rFonts w:ascii="宋体" w:hAnsi="宋体"/>
                <w:szCs w:val="21"/>
              </w:rPr>
            </w:pPr>
            <w:r>
              <w:rPr>
                <w:rFonts w:hint="eastAsia" w:ascii="宋体" w:hAnsi="宋体"/>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400" w:lineRule="exact"/>
              <w:ind w:firstLine="525" w:firstLineChars="25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40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40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40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400" w:lineRule="exact"/>
              <w:ind w:firstLine="525" w:firstLineChars="250"/>
              <w:rPr>
                <w:rFonts w:ascii="宋体" w:hAnsi="宋体"/>
                <w:szCs w:val="21"/>
              </w:rPr>
            </w:pPr>
            <w:r>
              <w:rPr>
                <w:rFonts w:hint="eastAsia" w:ascii="宋体" w:hAnsi="宋体"/>
                <w:szCs w:val="21"/>
              </w:rPr>
              <w:t>（7）同一投标人未对同一标段提交两个以上不同的投标文件。</w:t>
            </w:r>
          </w:p>
          <w:p>
            <w:pPr>
              <w:tabs>
                <w:tab w:val="left" w:pos="3060"/>
              </w:tabs>
              <w:spacing w:line="40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40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40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）投标人未对本项目进行分包。</w:t>
            </w:r>
          </w:p>
          <w:p>
            <w:pPr>
              <w:tabs>
                <w:tab w:val="left" w:pos="3060"/>
              </w:tabs>
              <w:spacing w:line="40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40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40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40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40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40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40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40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a.投标函按招标文件规定填报了项目名称、补遗书编号（如有）、投标价（包括大写金额和小写金额）；</w:t>
            </w:r>
          </w:p>
          <w:p>
            <w:pPr>
              <w:tabs>
                <w:tab w:val="left" w:pos="3060"/>
              </w:tabs>
              <w:spacing w:line="360" w:lineRule="exact"/>
              <w:ind w:firstLine="420" w:firstLineChars="200"/>
              <w:rPr>
                <w:rFonts w:ascii="宋体" w:hAnsi="宋体"/>
                <w:bCs/>
                <w:szCs w:val="21"/>
                <w:highlight w:val="green"/>
              </w:rPr>
            </w:pPr>
            <w:r>
              <w:rPr>
                <w:rFonts w:hint="eastAsia" w:ascii="宋体" w:hAnsi="宋体"/>
                <w:bCs/>
                <w:szCs w:val="21"/>
              </w:rPr>
              <w:t>b．报价清单说明文字与招标文件规定一致，未对实质性内容进行修改和删减；</w:t>
            </w:r>
          </w:p>
          <w:p>
            <w:pPr>
              <w:tabs>
                <w:tab w:val="left" w:pos="3060"/>
              </w:tabs>
              <w:spacing w:line="360" w:lineRule="exact"/>
              <w:ind w:firstLine="420" w:firstLineChars="200"/>
              <w:rPr>
                <w:rFonts w:ascii="宋体" w:hAnsi="宋体"/>
                <w:bCs/>
                <w:szCs w:val="21"/>
              </w:rPr>
            </w:pPr>
            <w:r>
              <w:rPr>
                <w:rFonts w:hint="eastAsia" w:ascii="宋体" w:hAnsi="宋体"/>
                <w:bCs/>
                <w:szCs w:val="21"/>
              </w:rPr>
              <w:t>c．投标文件组成齐全完整，内容均按规定填写。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（3）投标报价中的报价未超过招标文件设定的最高投标限价。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（4）投标报价中报价的大写金额能够确定具体数值。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（5）同一投标人未对同一标段提交两个以上不同的投标报价。</w:t>
            </w:r>
          </w:p>
          <w:p>
            <w:pPr>
              <w:tabs>
                <w:tab w:val="left" w:pos="3060"/>
              </w:tabs>
              <w:spacing w:line="360" w:lineRule="exact"/>
              <w:ind w:firstLine="420" w:firstLineChars="200"/>
              <w:rPr>
                <w:rFonts w:ascii="宋体" w:hAnsi="宋体"/>
                <w:szCs w:val="21"/>
              </w:rPr>
            </w:pPr>
            <w:r>
              <w:rPr>
                <w:rFonts w:hint="eastAsia" w:ascii="宋体" w:hAnsi="宋体"/>
                <w:szCs w:val="21"/>
              </w:rPr>
              <w:t>（6）</w:t>
            </w:r>
            <w:r>
              <w:rPr>
                <w:rFonts w:hint="eastAsia" w:ascii="宋体" w:hAnsi="宋体" w:cs="宋体"/>
                <w:color w:val="000000"/>
                <w:szCs w:val="21"/>
              </w:rPr>
              <w:t>报价清单中的投标报价与投标函大写金额一致。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w:t>
            </w:r>
            <w:r>
              <w:rPr>
                <w:rFonts w:hint="eastAsia"/>
                <w:color w:val="000000"/>
                <w:szCs w:val="24"/>
              </w:rPr>
              <w:t>道路运输经营许可证</w:t>
            </w:r>
            <w:r>
              <w:rPr>
                <w:rFonts w:hint="eastAsia" w:ascii="宋体" w:hAnsi="宋体"/>
                <w:szCs w:val="21"/>
              </w:rPr>
              <w:t>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（2）投标人的业绩符合招标文件规定。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（4）投标人不存在第二章“投标人须知”第1.4.3项或1.4.4项规定的任何一种情形。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s="宋体"/>
                <w:b/>
                <w:color w:val="000000"/>
                <w:szCs w:val="21"/>
              </w:rPr>
            </w:pPr>
            <w:r>
              <w:rPr>
                <w:rFonts w:hint="eastAsia" w:ascii="宋体" w:hAnsi="宋体" w:cs="宋体"/>
                <w:b/>
                <w:color w:val="000000"/>
                <w:szCs w:val="21"/>
              </w:rPr>
              <w:t>第一个信封（商务及技术文件）评分分值构成：</w:t>
            </w:r>
          </w:p>
          <w:p>
            <w:pPr>
              <w:adjustRightInd w:val="0"/>
              <w:snapToGrid w:val="0"/>
              <w:spacing w:line="320" w:lineRule="exact"/>
              <w:rPr>
                <w:rFonts w:ascii="宋体" w:hAnsi="宋体" w:cs="宋体"/>
                <w:color w:val="000000"/>
                <w:szCs w:val="21"/>
              </w:rPr>
            </w:pPr>
            <w:r>
              <w:rPr>
                <w:rFonts w:hint="eastAsia" w:ascii="宋体" w:hAnsi="宋体" w:cs="宋体"/>
                <w:color w:val="000000"/>
                <w:szCs w:val="21"/>
              </w:rPr>
              <w:t>技术服务建议书：50分</w:t>
            </w:r>
          </w:p>
          <w:p>
            <w:pPr>
              <w:adjustRightInd w:val="0"/>
              <w:snapToGrid w:val="0"/>
              <w:spacing w:line="320" w:lineRule="exact"/>
              <w:rPr>
                <w:rFonts w:ascii="宋体" w:hAnsi="宋体" w:cs="宋体"/>
                <w:color w:val="000000"/>
                <w:szCs w:val="21"/>
              </w:rPr>
            </w:pPr>
            <w:r>
              <w:rPr>
                <w:rFonts w:hint="eastAsia" w:ascii="宋体" w:hAnsi="宋体" w:cs="宋体"/>
                <w:color w:val="000000"/>
                <w:szCs w:val="21"/>
              </w:rPr>
              <w:t>其他评分因素：40分</w:t>
            </w:r>
          </w:p>
          <w:p>
            <w:pPr>
              <w:adjustRightInd w:val="0"/>
              <w:snapToGrid w:val="0"/>
              <w:spacing w:line="320" w:lineRule="exact"/>
              <w:rPr>
                <w:rFonts w:ascii="宋体" w:hAnsi="宋体" w:cs="宋体"/>
                <w:b/>
                <w:color w:val="000000"/>
                <w:szCs w:val="21"/>
              </w:rPr>
            </w:pPr>
            <w:r>
              <w:rPr>
                <w:rFonts w:hint="eastAsia" w:ascii="宋体" w:hAnsi="宋体" w:cs="宋体"/>
                <w:b/>
                <w:color w:val="000000"/>
                <w:szCs w:val="21"/>
              </w:rPr>
              <w:t>第二个信封（报价文件）评分分值构成：</w:t>
            </w:r>
          </w:p>
          <w:p>
            <w:pPr>
              <w:spacing w:line="360" w:lineRule="exact"/>
              <w:rPr>
                <w:rFonts w:ascii="宋体" w:hAnsi="宋体"/>
                <w:szCs w:val="21"/>
              </w:rPr>
            </w:pPr>
            <w:r>
              <w:rPr>
                <w:rFonts w:hint="eastAsia" w:ascii="宋体" w:hAnsi="宋体" w:cs="宋体"/>
                <w:color w:val="000000"/>
                <w:szCs w:val="21"/>
              </w:rPr>
              <w:t>评 标 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 xml:space="preserve">评标基准价的计算： </w:t>
            </w:r>
          </w:p>
          <w:p>
            <w:pPr>
              <w:pStyle w:val="9"/>
              <w:snapToGrid w:val="0"/>
              <w:spacing w:line="320" w:lineRule="exact"/>
              <w:ind w:firstLine="0" w:firstLineChars="0"/>
              <w:rPr>
                <w:rFonts w:ascii="宋体" w:hAnsi="宋体" w:cs="宋体"/>
                <w:szCs w:val="21"/>
              </w:rPr>
            </w:pPr>
            <w:r>
              <w:rPr>
                <w:rFonts w:hint="eastAsia" w:ascii="宋体" w:hAnsi="宋体" w:cs="宋体"/>
                <w:szCs w:val="21"/>
              </w:rPr>
              <w:t xml:space="preserve"> 开标现场，招标人将当场计算并宣布评标基准价。</w:t>
            </w:r>
          </w:p>
          <w:p>
            <w:pPr>
              <w:pStyle w:val="9"/>
              <w:snapToGrid w:val="0"/>
              <w:spacing w:line="320" w:lineRule="exact"/>
              <w:ind w:left="0" w:leftChars="0" w:firstLine="0" w:firstLineChars="0"/>
              <w:rPr>
                <w:rFonts w:ascii="宋体" w:hAnsi="宋体" w:cs="宋体"/>
                <w:szCs w:val="21"/>
              </w:rPr>
            </w:pPr>
            <w:r>
              <w:rPr>
                <w:rFonts w:hint="eastAsia" w:ascii="宋体" w:hAnsi="宋体" w:cs="宋体"/>
                <w:szCs w:val="21"/>
              </w:rPr>
              <w:t>评标价的确定：</w:t>
            </w:r>
          </w:p>
          <w:p>
            <w:pPr>
              <w:pStyle w:val="9"/>
              <w:snapToGrid w:val="0"/>
              <w:spacing w:line="320" w:lineRule="exact"/>
              <w:ind w:left="0" w:leftChars="0"/>
              <w:rPr>
                <w:rFonts w:ascii="宋体" w:hAnsi="宋体" w:cs="宋体"/>
                <w:szCs w:val="21"/>
              </w:rPr>
            </w:pPr>
            <w:r>
              <w:rPr>
                <w:rFonts w:hint="eastAsia" w:ascii="宋体" w:hAnsi="宋体" w:cs="宋体"/>
                <w:szCs w:val="21"/>
              </w:rPr>
              <w:t>（1）评标价=投标函文字报价</w:t>
            </w:r>
          </w:p>
          <w:p>
            <w:pPr>
              <w:pStyle w:val="9"/>
              <w:snapToGrid w:val="0"/>
              <w:spacing w:line="320" w:lineRule="exact"/>
              <w:ind w:left="0" w:leftChars="0"/>
              <w:rPr>
                <w:rFonts w:ascii="宋体" w:hAnsi="宋体" w:cs="宋体"/>
                <w:szCs w:val="21"/>
              </w:rPr>
            </w:pPr>
            <w:r>
              <w:rPr>
                <w:rFonts w:hint="eastAsia" w:ascii="宋体" w:hAnsi="宋体" w:cs="宋体"/>
                <w:szCs w:val="21"/>
              </w:rPr>
              <w:t>（2）评标价平均值的计算：</w:t>
            </w:r>
          </w:p>
          <w:p>
            <w:pPr>
              <w:pStyle w:val="9"/>
              <w:snapToGrid w:val="0"/>
              <w:spacing w:line="320" w:lineRule="exact"/>
              <w:ind w:left="0" w:leftChars="0"/>
              <w:rPr>
                <w:rFonts w:ascii="宋体" w:hAnsi="宋体" w:cs="宋体"/>
                <w:szCs w:val="21"/>
              </w:rPr>
            </w:pPr>
            <w:r>
              <w:rPr>
                <w:rFonts w:hint="eastAsia" w:ascii="宋体" w:hAnsi="宋体" w:cs="宋体"/>
                <w:szCs w:val="21"/>
              </w:rPr>
              <w:t>除按第二章“投标人须知”第5.2.4项规定开标现场被宣布为不进入评标基准价计算的投标报价之外，所有投标人的评标价去掉一个最高值和一个最低值后的算数平均值即为评标价平均值（如果参与评标价平均值计算的有效投标人少于5家时，则计算评标价平均值时不去掉最高值和最低值）。</w:t>
            </w:r>
          </w:p>
          <w:p>
            <w:pPr>
              <w:pStyle w:val="9"/>
              <w:snapToGrid w:val="0"/>
              <w:spacing w:line="320" w:lineRule="exact"/>
              <w:ind w:left="0" w:leftChars="0"/>
              <w:rPr>
                <w:rFonts w:ascii="宋体" w:hAnsi="宋体" w:cs="宋体"/>
                <w:szCs w:val="21"/>
              </w:rPr>
            </w:pPr>
            <w:r>
              <w:rPr>
                <w:rFonts w:hint="eastAsia" w:ascii="宋体" w:hAnsi="宋体" w:cs="宋体"/>
                <w:szCs w:val="21"/>
              </w:rPr>
              <w:t xml:space="preserve">（3）评标基准价的确定： </w:t>
            </w:r>
          </w:p>
          <w:p>
            <w:pPr>
              <w:pStyle w:val="9"/>
              <w:snapToGrid w:val="0"/>
              <w:spacing w:line="320" w:lineRule="exact"/>
              <w:ind w:left="0" w:leftChars="0"/>
              <w:rPr>
                <w:rFonts w:ascii="宋体" w:hAnsi="宋体" w:cs="宋体"/>
                <w:szCs w:val="21"/>
              </w:rPr>
            </w:pPr>
            <w:r>
              <w:rPr>
                <w:rFonts w:hint="eastAsia" w:ascii="宋体" w:hAnsi="宋体" w:cs="宋体"/>
                <w:szCs w:val="21"/>
              </w:rPr>
              <w:t xml:space="preserve">评标价平均值直接作为评标基准价。 </w:t>
            </w:r>
          </w:p>
          <w:p>
            <w:pPr>
              <w:pStyle w:val="9"/>
              <w:snapToGrid w:val="0"/>
              <w:spacing w:line="320" w:lineRule="exact"/>
              <w:ind w:left="0" w:leftChars="0"/>
              <w:rPr>
                <w:rFonts w:ascii="宋体" w:hAnsi="宋体" w:cs="宋体"/>
                <w:szCs w:val="21"/>
              </w:rPr>
            </w:pPr>
            <w:r>
              <w:rPr>
                <w:rFonts w:hint="eastAsia" w:ascii="宋体" w:hAnsi="宋体" w:cs="宋体"/>
                <w:szCs w:val="21"/>
              </w:rPr>
              <w:t>评标基准价保留小数点后两位，小数点后第三位四舍五入。</w:t>
            </w:r>
          </w:p>
          <w:p>
            <w:pPr>
              <w:spacing w:line="360" w:lineRule="exact"/>
              <w:ind w:firstLine="420" w:firstLineChars="200"/>
              <w:rPr>
                <w:rFonts w:ascii="宋体" w:hAnsi="宋体"/>
                <w:szCs w:val="21"/>
              </w:rPr>
            </w:pPr>
            <w:r>
              <w:rPr>
                <w:rFonts w:hint="eastAsia" w:ascii="宋体" w:hAnsi="宋体" w:cs="宋体"/>
                <w:color w:val="000000"/>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（1）评标委员会评标时在“国家企业信用信息公示系统（http://www.gsxt.gov.cn/)”对投标人的信用情况进行查询，若投标人存在被列入“严重违法失信企业名单”情形的（不含分公司），评标委员会应否决其投标。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2）评标委员会评标时在“信用中国网站（http://www.creditchina.gov.cn/)”对投标人的信用情况进行查询，若投标人存在被列入“失信被执行人名单、经营异常名录、重大税收违法失信主体、政府采购严重违法失信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Cs w:val="21"/>
        </w:rPr>
      </w:pPr>
      <w:r>
        <w:rPr>
          <w:rFonts w:ascii="宋体" w:hAnsi="宋体"/>
          <w:szCs w:val="21"/>
        </w:rPr>
        <w:br w:type="page"/>
      </w:r>
      <w:r>
        <w:rPr>
          <w:rFonts w:hint="eastAsia" w:ascii="宋体" w:hAnsi="宋体"/>
          <w:szCs w:val="21"/>
        </w:rPr>
        <w:t>具体评分标准如下：</w:t>
      </w:r>
    </w:p>
    <w:tbl>
      <w:tblPr>
        <w:tblStyle w:val="10"/>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47"/>
        <w:gridCol w:w="1077"/>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条款号</w:t>
            </w:r>
          </w:p>
        </w:tc>
        <w:tc>
          <w:tcPr>
            <w:tcW w:w="2154" w:type="dxa"/>
            <w:gridSpan w:val="3"/>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2056" w:hRule="exact"/>
          <w:jc w:val="center"/>
        </w:trPr>
        <w:tc>
          <w:tcPr>
            <w:tcW w:w="735" w:type="dxa"/>
            <w:vMerge w:val="restart"/>
            <w:tcBorders>
              <w:right w:val="single" w:color="auto" w:sz="2" w:space="0"/>
            </w:tcBorders>
            <w:vAlign w:val="center"/>
          </w:tcPr>
          <w:p>
            <w:pPr>
              <w:snapToGrid w:val="0"/>
              <w:jc w:val="center"/>
              <w:rPr>
                <w:rFonts w:ascii="宋体" w:hAnsi="宋体" w:cs="宋体"/>
                <w:bCs/>
                <w:w w:val="90"/>
                <w:szCs w:val="21"/>
              </w:rPr>
            </w:pPr>
            <w:r>
              <w:rPr>
                <w:rFonts w:ascii="宋体" w:hAnsi="宋体" w:cs="宋体"/>
                <w:bCs/>
                <w:w w:val="90"/>
                <w:szCs w:val="21"/>
              </w:rPr>
              <w:t>2</w:t>
            </w:r>
            <w:r>
              <w:rPr>
                <w:rFonts w:hint="eastAsia" w:ascii="宋体" w:hAnsi="宋体" w:cs="宋体"/>
                <w:bCs/>
                <w:w w:val="90"/>
                <w:szCs w:val="21"/>
              </w:rPr>
              <w:t>.2.4（1）</w:t>
            </w:r>
          </w:p>
        </w:tc>
        <w:tc>
          <w:tcPr>
            <w:tcW w:w="1030" w:type="dxa"/>
            <w:vMerge w:val="restart"/>
            <w:tcBorders>
              <w:left w:val="single" w:color="auto" w:sz="2" w:space="0"/>
              <w:right w:val="single" w:color="auto" w:sz="2" w:space="0"/>
            </w:tcBorders>
            <w:vAlign w:val="center"/>
          </w:tcPr>
          <w:p>
            <w:pPr>
              <w:snapToGrid w:val="0"/>
              <w:spacing w:beforeLines="50" w:afterLines="50"/>
              <w:jc w:val="center"/>
              <w:rPr>
                <w:rFonts w:ascii="宋体" w:hAnsi="宋体" w:cs="宋体"/>
                <w:bCs/>
                <w:szCs w:val="21"/>
              </w:rPr>
            </w:pPr>
            <w:r>
              <w:rPr>
                <w:rFonts w:hint="eastAsia" w:ascii="宋体" w:hAnsi="宋体" w:cs="宋体"/>
                <w:color w:val="000000"/>
                <w:szCs w:val="21"/>
              </w:rPr>
              <w:t>技术服务建议书</w:t>
            </w:r>
            <w:r>
              <w:rPr>
                <w:rFonts w:hint="eastAsia" w:ascii="宋体" w:hAnsi="宋体" w:cs="宋体"/>
                <w:bCs/>
                <w:szCs w:val="21"/>
              </w:rPr>
              <w:t>（50分）</w:t>
            </w:r>
          </w:p>
        </w:tc>
        <w:tc>
          <w:tcPr>
            <w:tcW w:w="1124" w:type="dxa"/>
            <w:gridSpan w:val="2"/>
            <w:tcBorders>
              <w:left w:val="single" w:color="auto" w:sz="2" w:space="0"/>
            </w:tcBorders>
            <w:vAlign w:val="center"/>
          </w:tcPr>
          <w:p>
            <w:pPr>
              <w:snapToGrid w:val="0"/>
              <w:spacing w:beforeLines="50" w:afterLines="50"/>
              <w:jc w:val="center"/>
              <w:rPr>
                <w:rFonts w:ascii="宋体" w:hAnsi="宋体" w:cs="宋体"/>
                <w:bCs/>
                <w:szCs w:val="21"/>
              </w:rPr>
            </w:pPr>
            <w:r>
              <w:rPr>
                <w:rFonts w:hint="eastAsia" w:ascii="宋体" w:hAnsi="宋体" w:cs="宋体"/>
                <w:szCs w:val="21"/>
              </w:rPr>
              <w:t>驾驶员培训考核</w:t>
            </w:r>
          </w:p>
        </w:tc>
        <w:tc>
          <w:tcPr>
            <w:tcW w:w="843" w:type="dxa"/>
            <w:vAlign w:val="center"/>
          </w:tcPr>
          <w:p>
            <w:pPr>
              <w:snapToGrid w:val="0"/>
              <w:jc w:val="center"/>
              <w:rPr>
                <w:rFonts w:ascii="宋体" w:hAnsi="宋体" w:cs="宋体"/>
                <w:bCs/>
                <w:szCs w:val="21"/>
              </w:rPr>
            </w:pPr>
            <w:r>
              <w:rPr>
                <w:rFonts w:hint="eastAsia" w:ascii="宋体" w:hAnsi="宋体" w:cs="宋体"/>
                <w:bCs/>
                <w:szCs w:val="21"/>
              </w:rPr>
              <w:t>15分</w:t>
            </w:r>
          </w:p>
        </w:tc>
        <w:tc>
          <w:tcPr>
            <w:tcW w:w="5978" w:type="dxa"/>
            <w:vAlign w:val="center"/>
          </w:tcPr>
          <w:p>
            <w:pPr>
              <w:rPr>
                <w:rFonts w:ascii="宋体" w:hAnsi="宋体" w:cs="宋体"/>
                <w:szCs w:val="21"/>
              </w:rPr>
            </w:pPr>
            <w:r>
              <w:rPr>
                <w:rFonts w:hint="eastAsia" w:ascii="宋体" w:hAnsi="宋体" w:cs="宋体"/>
                <w:szCs w:val="21"/>
              </w:rPr>
              <w:t>投标人应提供详细的驾驶员培训考核资料，内容包含安全驾驶、道路交通安全法、考核内容等：</w:t>
            </w:r>
          </w:p>
          <w:p>
            <w:pPr>
              <w:rPr>
                <w:rFonts w:ascii="宋体" w:hAnsi="宋体" w:cs="宋体"/>
                <w:szCs w:val="21"/>
              </w:rPr>
            </w:pPr>
            <w:r>
              <w:rPr>
                <w:rFonts w:hint="eastAsia" w:ascii="宋体" w:hAnsi="宋体" w:cs="宋体"/>
                <w:szCs w:val="21"/>
              </w:rPr>
              <w:t>第一档，培训考核资料详细具体的得13（不含）-15分；</w:t>
            </w:r>
          </w:p>
          <w:p>
            <w:pPr>
              <w:rPr>
                <w:rFonts w:ascii="宋体" w:hAnsi="宋体" w:cs="宋体"/>
                <w:szCs w:val="21"/>
              </w:rPr>
            </w:pPr>
            <w:r>
              <w:rPr>
                <w:rFonts w:hint="eastAsia" w:ascii="宋体" w:hAnsi="宋体" w:cs="宋体"/>
                <w:szCs w:val="21"/>
              </w:rPr>
              <w:t>第二档，培训考核资料一般的得9（不含）-13（含）分；</w:t>
            </w:r>
          </w:p>
          <w:p>
            <w:pPr>
              <w:spacing w:line="240" w:lineRule="atLeast"/>
              <w:jc w:val="left"/>
              <w:rPr>
                <w:rFonts w:ascii="宋体" w:hAnsi="宋体" w:cs="宋体"/>
                <w:szCs w:val="21"/>
              </w:rPr>
            </w:pPr>
            <w:r>
              <w:rPr>
                <w:rFonts w:hint="eastAsia" w:ascii="宋体" w:hAnsi="宋体" w:cs="宋体"/>
                <w:szCs w:val="21"/>
              </w:rPr>
              <w:t>第三档，培训考核资料较差得9分；</w:t>
            </w:r>
          </w:p>
          <w:p>
            <w:pPr>
              <w:snapToGrid w:val="0"/>
              <w:rPr>
                <w:rFonts w:ascii="宋体" w:hAnsi="宋体" w:cs="宋体"/>
                <w:bCs/>
                <w:szCs w:val="21"/>
              </w:rPr>
            </w:pPr>
            <w:r>
              <w:rPr>
                <w:rFonts w:hint="eastAsia" w:ascii="宋体" w:hAnsi="宋体" w:cs="宋体"/>
                <w:szCs w:val="21"/>
              </w:rPr>
              <w:t>投标人须提供相关资料复印件或图片，未提供的得0分。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44"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gridSpan w:val="2"/>
            <w:tcBorders>
              <w:left w:val="single" w:color="auto" w:sz="2" w:space="0"/>
            </w:tcBorders>
            <w:vAlign w:val="center"/>
          </w:tcPr>
          <w:p>
            <w:pPr>
              <w:snapToGrid w:val="0"/>
              <w:jc w:val="center"/>
              <w:rPr>
                <w:rFonts w:ascii="宋体" w:hAnsi="宋体" w:cs="宋体"/>
                <w:bCs/>
                <w:szCs w:val="21"/>
              </w:rPr>
            </w:pPr>
            <w:r>
              <w:rPr>
                <w:rFonts w:hint="eastAsia" w:ascii="宋体" w:hAnsi="宋体" w:cs="宋体"/>
                <w:szCs w:val="21"/>
              </w:rPr>
              <w:t>车辆日常检修保养、隐患和突发情况的处理方案</w:t>
            </w:r>
          </w:p>
        </w:tc>
        <w:tc>
          <w:tcPr>
            <w:tcW w:w="843" w:type="dxa"/>
            <w:vAlign w:val="center"/>
          </w:tcPr>
          <w:p>
            <w:pPr>
              <w:snapToGrid w:val="0"/>
              <w:jc w:val="center"/>
              <w:rPr>
                <w:rFonts w:ascii="宋体" w:hAnsi="宋体" w:cs="宋体"/>
                <w:bCs/>
                <w:szCs w:val="21"/>
              </w:rPr>
            </w:pPr>
            <w:r>
              <w:rPr>
                <w:rFonts w:hint="eastAsia" w:ascii="宋体" w:hAnsi="宋体" w:cs="宋体"/>
                <w:bCs/>
                <w:szCs w:val="21"/>
              </w:rPr>
              <w:t>15分</w:t>
            </w:r>
          </w:p>
        </w:tc>
        <w:tc>
          <w:tcPr>
            <w:tcW w:w="5978" w:type="dxa"/>
            <w:vAlign w:val="center"/>
          </w:tcPr>
          <w:p>
            <w:pPr>
              <w:rPr>
                <w:rFonts w:ascii="宋体" w:hAnsi="宋体" w:cs="宋体"/>
                <w:szCs w:val="21"/>
              </w:rPr>
            </w:pPr>
            <w:r>
              <w:rPr>
                <w:rFonts w:hint="eastAsia" w:ascii="宋体" w:hAnsi="宋体" w:cs="宋体"/>
                <w:szCs w:val="21"/>
              </w:rPr>
              <w:t>投标人对车辆的检修、保养期间车辆的替换方案及涉及交通事故等突发情况的配合处理方案。</w:t>
            </w:r>
          </w:p>
          <w:p>
            <w:pPr>
              <w:rPr>
                <w:rFonts w:ascii="宋体" w:hAnsi="宋体" w:cs="宋体"/>
                <w:szCs w:val="21"/>
              </w:rPr>
            </w:pPr>
            <w:r>
              <w:rPr>
                <w:rFonts w:hint="eastAsia" w:ascii="宋体" w:hAnsi="宋体" w:cs="宋体"/>
                <w:szCs w:val="21"/>
              </w:rPr>
              <w:t>第一档，方案科学合理，得13（不含）-15分；</w:t>
            </w:r>
          </w:p>
          <w:p>
            <w:pPr>
              <w:rPr>
                <w:rFonts w:ascii="宋体" w:hAnsi="宋体" w:cs="宋体"/>
                <w:szCs w:val="21"/>
              </w:rPr>
            </w:pPr>
            <w:r>
              <w:rPr>
                <w:rFonts w:hint="eastAsia" w:ascii="宋体" w:hAnsi="宋体" w:cs="宋体"/>
                <w:szCs w:val="21"/>
              </w:rPr>
              <w:t>第二档，基本合理，得9（不含）-13（含）分；</w:t>
            </w:r>
          </w:p>
          <w:p>
            <w:pPr>
              <w:snapToGrid w:val="0"/>
              <w:rPr>
                <w:rFonts w:ascii="宋体" w:hAnsi="宋体" w:cs="宋体"/>
                <w:bCs/>
                <w:szCs w:val="21"/>
              </w:rPr>
            </w:pPr>
            <w:r>
              <w:rPr>
                <w:rFonts w:hint="eastAsia" w:ascii="宋体" w:hAnsi="宋体" w:cs="宋体"/>
                <w:szCs w:val="21"/>
              </w:rPr>
              <w:t>第三档，较差得9分。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10"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gridSpan w:val="2"/>
            <w:tcBorders>
              <w:left w:val="single" w:color="auto" w:sz="2" w:space="0"/>
            </w:tcBorders>
            <w:vAlign w:val="center"/>
          </w:tcPr>
          <w:p>
            <w:pPr>
              <w:widowControl/>
              <w:jc w:val="center"/>
              <w:textAlignment w:val="center"/>
              <w:rPr>
                <w:rFonts w:ascii="宋体" w:hAnsi="宋体" w:cs="宋体"/>
                <w:bCs/>
                <w:szCs w:val="21"/>
              </w:rPr>
            </w:pPr>
            <w:r>
              <w:rPr>
                <w:rFonts w:hint="eastAsia" w:ascii="宋体" w:hAnsi="宋体" w:cs="宋体"/>
                <w:szCs w:val="21"/>
              </w:rPr>
              <w:t>整体服务</w:t>
            </w:r>
            <w:r>
              <w:rPr>
                <w:rFonts w:hint="eastAsia" w:ascii="宋体" w:hAnsi="宋体" w:cs="宋体"/>
                <w:spacing w:val="12"/>
                <w:szCs w:val="21"/>
              </w:rPr>
              <w:t>及服务保障</w:t>
            </w:r>
            <w:r>
              <w:rPr>
                <w:rFonts w:hint="eastAsia" w:ascii="宋体" w:hAnsi="宋体" w:cs="宋体"/>
                <w:szCs w:val="21"/>
              </w:rPr>
              <w:t>方案</w:t>
            </w:r>
          </w:p>
        </w:tc>
        <w:tc>
          <w:tcPr>
            <w:tcW w:w="843" w:type="dxa"/>
            <w:vAlign w:val="center"/>
          </w:tcPr>
          <w:p>
            <w:pPr>
              <w:snapToGrid w:val="0"/>
              <w:jc w:val="center"/>
              <w:rPr>
                <w:rFonts w:ascii="宋体" w:hAnsi="宋体" w:cs="宋体"/>
                <w:bCs/>
                <w:szCs w:val="21"/>
              </w:rPr>
            </w:pPr>
            <w:r>
              <w:rPr>
                <w:rFonts w:hint="eastAsia" w:ascii="宋体" w:hAnsi="宋体" w:cs="宋体"/>
                <w:bCs/>
                <w:szCs w:val="21"/>
              </w:rPr>
              <w:t>20分</w:t>
            </w:r>
          </w:p>
        </w:tc>
        <w:tc>
          <w:tcPr>
            <w:tcW w:w="5978" w:type="dxa"/>
            <w:vAlign w:val="center"/>
          </w:tcPr>
          <w:p>
            <w:pPr>
              <w:tabs>
                <w:tab w:val="left" w:pos="1914"/>
              </w:tabs>
              <w:spacing w:before="38"/>
              <w:ind w:right="-23"/>
              <w:jc w:val="left"/>
              <w:rPr>
                <w:rFonts w:ascii="宋体" w:hAnsi="宋体" w:cs="宋体"/>
                <w:szCs w:val="21"/>
              </w:rPr>
            </w:pPr>
            <w:r>
              <w:rPr>
                <w:rFonts w:hint="eastAsia" w:ascii="宋体" w:hAnsi="宋体" w:cs="宋体"/>
                <w:szCs w:val="21"/>
              </w:rPr>
              <w:t>第一档，服务方案合理、保障措施有力，</w:t>
            </w:r>
            <w:r>
              <w:rPr>
                <w:rFonts w:hint="eastAsia" w:ascii="宋体" w:hAnsi="宋体" w:cs="宋体"/>
                <w:spacing w:val="12"/>
                <w:szCs w:val="21"/>
              </w:rPr>
              <w:t>能提供优秀服务的</w:t>
            </w:r>
            <w:r>
              <w:rPr>
                <w:rFonts w:hint="eastAsia" w:ascii="宋体" w:hAnsi="宋体" w:cs="宋体"/>
                <w:szCs w:val="21"/>
              </w:rPr>
              <w:t>得16（不含）-20（含）分；</w:t>
            </w:r>
          </w:p>
          <w:p>
            <w:pPr>
              <w:tabs>
                <w:tab w:val="left" w:pos="1914"/>
              </w:tabs>
              <w:spacing w:before="38"/>
              <w:ind w:right="-23"/>
              <w:jc w:val="left"/>
              <w:rPr>
                <w:rFonts w:ascii="宋体" w:hAnsi="宋体" w:cs="宋体"/>
                <w:szCs w:val="21"/>
              </w:rPr>
            </w:pPr>
            <w:r>
              <w:rPr>
                <w:rFonts w:hint="eastAsia" w:ascii="宋体" w:hAnsi="宋体" w:cs="宋体"/>
                <w:szCs w:val="21"/>
              </w:rPr>
              <w:t>第二档，服务方案较合理、保障措施较好，能较好提供服务的得12（不含）-16（含）分；</w:t>
            </w:r>
          </w:p>
          <w:p>
            <w:pPr>
              <w:snapToGrid w:val="0"/>
              <w:rPr>
                <w:rFonts w:ascii="宋体" w:hAnsi="宋体" w:cs="宋体"/>
                <w:bCs/>
                <w:szCs w:val="21"/>
              </w:rPr>
            </w:pPr>
            <w:r>
              <w:rPr>
                <w:rFonts w:hint="eastAsia" w:ascii="宋体" w:hAnsi="宋体" w:cs="宋体"/>
                <w:szCs w:val="21"/>
              </w:rPr>
              <w:t>第三档，服务方案能基本满足要求的得12分。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cs="宋体"/>
                <w:bCs/>
                <w:szCs w:val="21"/>
              </w:rPr>
            </w:pPr>
            <w:r>
              <w:rPr>
                <w:rFonts w:hint="eastAsia" w:ascii="宋体" w:hAnsi="宋体" w:cs="宋体"/>
                <w:bCs/>
                <w:szCs w:val="21"/>
              </w:rPr>
              <w:t>2.2.4（3）</w:t>
            </w:r>
          </w:p>
        </w:tc>
        <w:tc>
          <w:tcPr>
            <w:tcW w:w="2154" w:type="dxa"/>
            <w:gridSpan w:val="3"/>
            <w:tcBorders>
              <w:left w:val="single" w:color="auto" w:sz="2" w:space="0"/>
            </w:tcBorders>
            <w:vAlign w:val="center"/>
          </w:tcPr>
          <w:p>
            <w:pPr>
              <w:jc w:val="center"/>
              <w:rPr>
                <w:rFonts w:ascii="宋体" w:hAnsi="宋体" w:cs="宋体"/>
                <w:bCs/>
                <w:szCs w:val="21"/>
              </w:rPr>
            </w:pPr>
            <w:r>
              <w:rPr>
                <w:rFonts w:hint="eastAsia" w:ascii="宋体" w:hAnsi="宋体" w:cs="宋体"/>
                <w:bCs/>
                <w:szCs w:val="21"/>
              </w:rPr>
              <w:t>评标价（10分）</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rPr>
                <w:rFonts w:ascii="宋体" w:hAnsi="宋体"/>
                <w:szCs w:val="21"/>
              </w:rPr>
            </w:pPr>
            <w:r>
              <w:rPr>
                <w:rFonts w:hint="eastAsia" w:ascii="宋体" w:hAnsi="宋体"/>
                <w:szCs w:val="21"/>
              </w:rPr>
              <w:t>评标价得分计算公式示例：</w:t>
            </w:r>
          </w:p>
          <w:p>
            <w:pPr>
              <w:ind w:firstLine="243" w:firstLineChars="116"/>
              <w:rPr>
                <w:rFonts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cs="宋体"/>
                <w:bCs/>
                <w:szCs w:val="21"/>
              </w:rPr>
            </w:pPr>
            <w:r>
              <w:rPr>
                <w:rFonts w:hint="eastAsia" w:ascii="宋体" w:hAnsi="宋体"/>
                <w:szCs w:val="21"/>
              </w:rPr>
              <w:t>其中，F=10；E1=0.</w:t>
            </w:r>
            <w:r>
              <w:rPr>
                <w:rFonts w:ascii="宋体" w:hAnsi="宋体"/>
                <w:szCs w:val="21"/>
              </w:rPr>
              <w:t>1</w:t>
            </w:r>
            <w:r>
              <w:rPr>
                <w:rFonts w:hint="eastAsia" w:ascii="宋体" w:hAnsi="宋体"/>
                <w:szCs w:val="21"/>
              </w:rPr>
              <w:t>；E2=0.</w:t>
            </w:r>
            <w:r>
              <w:rPr>
                <w:rFonts w:ascii="宋体" w:hAnsi="宋体"/>
                <w:szCs w:val="21"/>
              </w:rPr>
              <w:t>05</w:t>
            </w:r>
            <w:r>
              <w:rPr>
                <w:rFonts w:hint="eastAsia" w:ascii="宋体" w:hAnsi="宋体"/>
                <w:szCs w:val="21"/>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Merge w:val="restart"/>
            <w:vAlign w:val="center"/>
          </w:tcPr>
          <w:p>
            <w:pPr>
              <w:jc w:val="center"/>
              <w:rPr>
                <w:rFonts w:ascii="宋体" w:hAnsi="宋体" w:cs="宋体"/>
                <w:bCs/>
                <w:szCs w:val="21"/>
              </w:rPr>
            </w:pPr>
            <w:r>
              <w:rPr>
                <w:rFonts w:hint="eastAsia" w:ascii="宋体" w:hAnsi="宋体" w:cs="宋体"/>
                <w:bCs/>
                <w:szCs w:val="21"/>
              </w:rPr>
              <w:t>2.2.4（4）</w:t>
            </w:r>
          </w:p>
        </w:tc>
        <w:tc>
          <w:tcPr>
            <w:tcW w:w="1077" w:type="dxa"/>
            <w:gridSpan w:val="2"/>
            <w:vMerge w:val="restart"/>
            <w:vAlign w:val="center"/>
          </w:tcPr>
          <w:p>
            <w:pPr>
              <w:jc w:val="center"/>
              <w:rPr>
                <w:rFonts w:ascii="宋体" w:hAnsi="宋体" w:cs="宋体"/>
                <w:color w:val="000000"/>
                <w:szCs w:val="21"/>
              </w:rPr>
            </w:pPr>
            <w:r>
              <w:rPr>
                <w:rFonts w:hint="eastAsia" w:ascii="宋体" w:hAnsi="宋体" w:cs="宋体"/>
                <w:color w:val="000000"/>
                <w:szCs w:val="21"/>
              </w:rPr>
              <w:t>其他评分因素</w:t>
            </w:r>
          </w:p>
          <w:p>
            <w:pPr>
              <w:jc w:val="center"/>
              <w:rPr>
                <w:rFonts w:ascii="宋体" w:hAnsi="宋体" w:cs="宋体"/>
                <w:bCs/>
                <w:szCs w:val="21"/>
              </w:rPr>
            </w:pPr>
            <w:r>
              <w:rPr>
                <w:rFonts w:hint="eastAsia" w:ascii="宋体" w:hAnsi="宋体" w:cs="宋体"/>
                <w:color w:val="000000"/>
                <w:szCs w:val="21"/>
              </w:rPr>
              <w:t>（40分）</w:t>
            </w:r>
          </w:p>
        </w:tc>
        <w:tc>
          <w:tcPr>
            <w:tcW w:w="1077" w:type="dxa"/>
            <w:vAlign w:val="center"/>
          </w:tcPr>
          <w:p>
            <w:pPr>
              <w:jc w:val="center"/>
              <w:rPr>
                <w:rFonts w:ascii="宋体" w:hAnsi="宋体" w:cs="宋体"/>
                <w:bCs/>
                <w:szCs w:val="21"/>
              </w:rPr>
            </w:pPr>
            <w:r>
              <w:rPr>
                <w:rFonts w:hint="eastAsia" w:ascii="宋体" w:hAnsi="宋体" w:cs="宋体"/>
                <w:bCs/>
                <w:szCs w:val="21"/>
              </w:rPr>
              <w:t>业绩</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snapToGrid w:val="0"/>
              <w:rPr>
                <w:rFonts w:ascii="宋体" w:hAnsi="宋体"/>
                <w:szCs w:val="21"/>
              </w:rPr>
            </w:pPr>
            <w:r>
              <w:rPr>
                <w:rFonts w:hint="eastAsia" w:ascii="宋体" w:hAnsi="宋体"/>
                <w:szCs w:val="21"/>
              </w:rPr>
              <w:t>满足资格审查条件(业绩最低要求)得4分；</w:t>
            </w:r>
          </w:p>
          <w:p>
            <w:pPr>
              <w:jc w:val="left"/>
              <w:rPr>
                <w:rFonts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2</w:t>
            </w:r>
            <w:r>
              <w:rPr>
                <w:rFonts w:hint="eastAsia" w:ascii="宋体" w:hAnsi="宋体" w:cs="宋体"/>
                <w:bCs/>
                <w:szCs w:val="21"/>
              </w:rPr>
              <w:t>分，最高加6分。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Merge w:val="continue"/>
            <w:vAlign w:val="center"/>
          </w:tcPr>
          <w:p>
            <w:pPr>
              <w:jc w:val="center"/>
              <w:rPr>
                <w:rFonts w:ascii="宋体" w:hAnsi="宋体" w:cs="宋体"/>
                <w:bCs/>
                <w:szCs w:val="21"/>
              </w:rPr>
            </w:pPr>
          </w:p>
        </w:tc>
        <w:tc>
          <w:tcPr>
            <w:tcW w:w="1077" w:type="dxa"/>
            <w:gridSpan w:val="2"/>
            <w:vMerge w:val="continue"/>
            <w:vAlign w:val="center"/>
          </w:tcPr>
          <w:p>
            <w:pPr>
              <w:jc w:val="center"/>
              <w:rPr>
                <w:rFonts w:ascii="宋体" w:hAnsi="宋体" w:cs="宋体"/>
                <w:color w:val="000000"/>
                <w:szCs w:val="21"/>
              </w:rPr>
            </w:pPr>
          </w:p>
        </w:tc>
        <w:tc>
          <w:tcPr>
            <w:tcW w:w="1077" w:type="dxa"/>
            <w:vAlign w:val="center"/>
          </w:tcPr>
          <w:p>
            <w:pPr>
              <w:jc w:val="center"/>
              <w:rPr>
                <w:rFonts w:ascii="宋体" w:hAnsi="宋体" w:cs="宋体"/>
                <w:bCs/>
                <w:szCs w:val="21"/>
              </w:rPr>
            </w:pPr>
            <w:r>
              <w:rPr>
                <w:rFonts w:hint="eastAsia" w:ascii="宋体" w:hAnsi="宋体" w:cs="宋体"/>
                <w:szCs w:val="21"/>
              </w:rPr>
              <w:t>通勤车辆</w:t>
            </w:r>
          </w:p>
        </w:tc>
        <w:tc>
          <w:tcPr>
            <w:tcW w:w="843" w:type="dxa"/>
            <w:vAlign w:val="center"/>
          </w:tcPr>
          <w:p>
            <w:pPr>
              <w:jc w:val="center"/>
              <w:rPr>
                <w:rFonts w:ascii="宋体" w:hAnsi="宋体" w:cs="宋体"/>
                <w:bCs/>
                <w:szCs w:val="21"/>
              </w:rPr>
            </w:pPr>
            <w:r>
              <w:rPr>
                <w:rFonts w:hint="eastAsia" w:ascii="宋体" w:hAnsi="宋体" w:cs="宋体"/>
                <w:bCs/>
                <w:szCs w:val="21"/>
              </w:rPr>
              <w:t>15分</w:t>
            </w:r>
          </w:p>
        </w:tc>
        <w:tc>
          <w:tcPr>
            <w:tcW w:w="5978" w:type="dxa"/>
            <w:vAlign w:val="center"/>
          </w:tcPr>
          <w:p>
            <w:pPr>
              <w:spacing w:line="280" w:lineRule="exact"/>
              <w:rPr>
                <w:rFonts w:ascii="宋体" w:hAnsi="宋体" w:cs="宋体"/>
                <w:szCs w:val="21"/>
              </w:rPr>
            </w:pPr>
            <w:r>
              <w:rPr>
                <w:rFonts w:hint="eastAsia" w:ascii="宋体" w:hAnsi="宋体" w:cs="宋体"/>
                <w:szCs w:val="21"/>
              </w:rPr>
              <w:t>第一档，通勤车辆购置年限在2021年11月1日之后登记注册的得15分；</w:t>
            </w:r>
          </w:p>
          <w:p>
            <w:pPr>
              <w:spacing w:line="280" w:lineRule="exact"/>
              <w:rPr>
                <w:rFonts w:ascii="宋体" w:hAnsi="宋体" w:cs="宋体"/>
                <w:szCs w:val="21"/>
              </w:rPr>
            </w:pPr>
            <w:r>
              <w:rPr>
                <w:rFonts w:hint="eastAsia" w:ascii="宋体" w:hAnsi="宋体" w:cs="宋体"/>
                <w:szCs w:val="21"/>
              </w:rPr>
              <w:t>第二档，通勤车辆购置年限在2020年11月1日之后登记注册的得10分；</w:t>
            </w:r>
          </w:p>
          <w:p>
            <w:pPr>
              <w:spacing w:line="280" w:lineRule="exact"/>
              <w:rPr>
                <w:rFonts w:ascii="宋体" w:hAnsi="宋体" w:cs="宋体"/>
                <w:szCs w:val="21"/>
              </w:rPr>
            </w:pPr>
            <w:r>
              <w:rPr>
                <w:rFonts w:hint="eastAsia" w:ascii="宋体" w:hAnsi="宋体" w:cs="宋体"/>
                <w:szCs w:val="21"/>
              </w:rPr>
              <w:t>第三档，通勤车辆购置年限在2019年11月1日之后登记注册的得5分；</w:t>
            </w:r>
          </w:p>
          <w:p>
            <w:pPr>
              <w:spacing w:line="280" w:lineRule="exact"/>
              <w:jc w:val="left"/>
              <w:rPr>
                <w:rFonts w:ascii="宋体" w:hAnsi="宋体"/>
                <w:szCs w:val="21"/>
              </w:rPr>
            </w:pPr>
            <w:r>
              <w:rPr>
                <w:rFonts w:hint="eastAsia" w:ascii="宋体" w:hAnsi="宋体" w:cs="宋体"/>
                <w:szCs w:val="21"/>
              </w:rPr>
              <w:t>投标人须提供机动车登记证书复印件或车辆购置发票。</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Merge w:val="continue"/>
            <w:vAlign w:val="center"/>
          </w:tcPr>
          <w:p>
            <w:pPr>
              <w:jc w:val="center"/>
              <w:rPr>
                <w:rFonts w:ascii="宋体" w:hAnsi="宋体" w:cs="宋体"/>
                <w:bCs/>
                <w:szCs w:val="21"/>
              </w:rPr>
            </w:pPr>
          </w:p>
        </w:tc>
        <w:tc>
          <w:tcPr>
            <w:tcW w:w="1077" w:type="dxa"/>
            <w:gridSpan w:val="2"/>
            <w:vMerge w:val="continue"/>
            <w:vAlign w:val="center"/>
          </w:tcPr>
          <w:p>
            <w:pPr>
              <w:jc w:val="center"/>
              <w:rPr>
                <w:rFonts w:ascii="宋体" w:hAnsi="宋体" w:cs="宋体"/>
                <w:bCs/>
                <w:szCs w:val="21"/>
              </w:rPr>
            </w:pPr>
          </w:p>
        </w:tc>
        <w:tc>
          <w:tcPr>
            <w:tcW w:w="1077" w:type="dxa"/>
            <w:vAlign w:val="center"/>
          </w:tcPr>
          <w:p>
            <w:pPr>
              <w:jc w:val="center"/>
              <w:rPr>
                <w:rFonts w:ascii="宋体" w:hAnsi="宋体" w:cs="宋体"/>
                <w:bCs/>
                <w:szCs w:val="21"/>
              </w:rPr>
            </w:pPr>
            <w:r>
              <w:rPr>
                <w:rFonts w:hint="eastAsia" w:ascii="宋体" w:hAnsi="宋体" w:cs="宋体"/>
                <w:szCs w:val="21"/>
              </w:rPr>
              <w:t>通勤班车车上座位险</w:t>
            </w:r>
          </w:p>
        </w:tc>
        <w:tc>
          <w:tcPr>
            <w:tcW w:w="843" w:type="dxa"/>
            <w:vAlign w:val="center"/>
          </w:tcPr>
          <w:p>
            <w:pPr>
              <w:jc w:val="center"/>
              <w:rPr>
                <w:rFonts w:ascii="宋体" w:hAnsi="宋体" w:cs="宋体"/>
                <w:bCs/>
                <w:szCs w:val="21"/>
              </w:rPr>
            </w:pPr>
            <w:r>
              <w:rPr>
                <w:rFonts w:hint="eastAsia" w:ascii="宋体" w:hAnsi="宋体" w:cs="宋体"/>
                <w:bCs/>
                <w:szCs w:val="21"/>
              </w:rPr>
              <w:t>15分</w:t>
            </w:r>
          </w:p>
        </w:tc>
        <w:tc>
          <w:tcPr>
            <w:tcW w:w="5978" w:type="dxa"/>
            <w:vAlign w:val="center"/>
          </w:tcPr>
          <w:p>
            <w:pPr>
              <w:spacing w:line="280" w:lineRule="exact"/>
              <w:rPr>
                <w:rFonts w:ascii="宋体" w:hAnsi="宋体" w:cs="宋体"/>
                <w:szCs w:val="21"/>
              </w:rPr>
            </w:pPr>
            <w:r>
              <w:rPr>
                <w:rFonts w:hint="eastAsia" w:ascii="宋体" w:hAnsi="宋体" w:cs="宋体"/>
                <w:szCs w:val="21"/>
              </w:rPr>
              <w:t>投标人须对通勤班车投保车上座位险，车上座位险有效期不低于12个月，每座保额不低于5万元，投保率不低于75%，在此基础上每座保额增加1万加3分，最高得15分。</w:t>
            </w:r>
          </w:p>
          <w:p>
            <w:pPr>
              <w:spacing w:line="280" w:lineRule="exact"/>
              <w:jc w:val="left"/>
              <w:rPr>
                <w:rFonts w:ascii="宋体" w:hAnsi="宋体" w:cs="宋体"/>
                <w:bCs/>
                <w:szCs w:val="21"/>
              </w:rPr>
            </w:pPr>
            <w:r>
              <w:rPr>
                <w:rFonts w:hint="eastAsia" w:ascii="宋体" w:hAnsi="宋体" w:cs="宋体"/>
                <w:szCs w:val="21"/>
              </w:rPr>
              <w:t>投标人须提供保单复印件。</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4"/>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pPr>
              <w:jc w:val="center"/>
              <w:rPr>
                <w:rFonts w:ascii="宋体" w:hAnsi="宋体" w:cs="宋体"/>
                <w:bCs/>
                <w:szCs w:val="21"/>
              </w:rPr>
            </w:pPr>
          </w:p>
        </w:tc>
      </w:tr>
    </w:tbl>
    <w:p>
      <w:pPr>
        <w:spacing w:line="240" w:lineRule="exact"/>
        <w:rPr>
          <w:rFonts w:ascii="宋体" w:hAnsi="宋体"/>
          <w:szCs w:val="21"/>
        </w:rPr>
      </w:pPr>
      <w:r>
        <w:rPr>
          <w:rFonts w:hint="eastAsia" w:ascii="宋体" w:hAnsi="宋体"/>
          <w:szCs w:val="21"/>
        </w:rPr>
        <w:t>注：1、各分项得分为各评委打分算术平均值，评委打分平均值保留两位小数，第三位四舍五入。</w:t>
      </w:r>
    </w:p>
    <w:p>
      <w:pPr>
        <w:spacing w:line="240" w:lineRule="exact"/>
        <w:ind w:firstLine="420" w:firstLineChars="200"/>
        <w:rPr>
          <w:rFonts w:ascii="宋体" w:hAnsi="宋体"/>
          <w:sz w:val="20"/>
          <w:szCs w:val="20"/>
        </w:rPr>
      </w:pPr>
      <w:r>
        <w:rPr>
          <w:rFonts w:hint="eastAsia" w:ascii="宋体" w:hAnsi="宋体"/>
          <w:szCs w:val="21"/>
        </w:rPr>
        <w:t>2、缺项则该项得0分。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3209BC"/>
    <w:rsid w:val="0013108B"/>
    <w:rsid w:val="003209BC"/>
    <w:rsid w:val="00741C35"/>
    <w:rsid w:val="008C1B68"/>
    <w:rsid w:val="009871A1"/>
    <w:rsid w:val="00BD0816"/>
    <w:rsid w:val="00EB3458"/>
    <w:rsid w:val="00F97AA7"/>
    <w:rsid w:val="5A197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left="0" w:firstLine="0" w:firstLineChars="0"/>
      <w:jc w:val="both"/>
    </w:pPr>
    <w:rPr>
      <w:rFonts w:ascii="Times New Roman" w:hAnsi="Times New Roman" w:eastAsia="宋体" w:cs="Times New Roman"/>
      <w:kern w:val="2"/>
      <w:sz w:val="21"/>
      <w:szCs w:val="22"/>
      <w:lang w:val="en-US" w:eastAsia="zh-CN" w:bidi="ar-SA"/>
    </w:rPr>
  </w:style>
  <w:style w:type="paragraph" w:styleId="3">
    <w:name w:val="heading 2"/>
    <w:basedOn w:val="1"/>
    <w:next w:val="1"/>
    <w:link w:val="16"/>
    <w:qFormat/>
    <w:uiPriority w:val="9"/>
    <w:pPr>
      <w:keepNext/>
      <w:keepLines/>
      <w:spacing w:before="260" w:after="260" w:line="416" w:lineRule="auto"/>
      <w:outlineLvl w:val="1"/>
    </w:pPr>
    <w:rPr>
      <w:rFonts w:ascii="等线 Light" w:hAnsi="等线 Light" w:eastAsia="等线 Light"/>
      <w:b/>
      <w:kern w:val="0"/>
      <w:sz w:val="32"/>
      <w:szCs w:val="20"/>
    </w:rPr>
  </w:style>
  <w:style w:type="paragraph" w:styleId="4">
    <w:name w:val="heading 3"/>
    <w:basedOn w:val="1"/>
    <w:next w:val="1"/>
    <w:link w:val="17"/>
    <w:qFormat/>
    <w:uiPriority w:val="9"/>
    <w:pPr>
      <w:keepNext/>
      <w:keepLines/>
      <w:spacing w:before="260" w:after="260" w:line="416" w:lineRule="auto"/>
      <w:outlineLvl w:val="2"/>
    </w:pPr>
    <w:rPr>
      <w:b/>
      <w:kern w:val="0"/>
      <w:sz w:val="32"/>
      <w:szCs w:val="20"/>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qFormat/>
    <w:uiPriority w:val="99"/>
    <w:pPr>
      <w:ind w:left="153"/>
      <w:jc w:val="left"/>
    </w:pPr>
    <w:rPr>
      <w:rFonts w:ascii="宋体" w:hAnsi="宋体"/>
      <w:kern w:val="0"/>
      <w:sz w:val="23"/>
      <w:szCs w:val="20"/>
      <w:lang w:eastAsia="en-US"/>
    </w:rPr>
  </w:style>
  <w:style w:type="paragraph" w:styleId="5">
    <w:name w:val="annotation text"/>
    <w:basedOn w:val="1"/>
    <w:link w:val="20"/>
    <w:semiHidden/>
    <w:unhideWhenUsed/>
    <w:uiPriority w:val="99"/>
    <w:pPr>
      <w:jc w:val="left"/>
    </w:pPr>
  </w:style>
  <w:style w:type="paragraph" w:styleId="6">
    <w:name w:val="Body Text Indent"/>
    <w:basedOn w:val="1"/>
    <w:link w:val="18"/>
    <w:semiHidden/>
    <w:unhideWhenUsed/>
    <w:uiPriority w:val="99"/>
    <w:pPr>
      <w:spacing w:after="120"/>
      <w:ind w:left="420" w:leftChars="200"/>
    </w:pPr>
  </w:style>
  <w:style w:type="paragraph" w:styleId="7">
    <w:name w:val="footer"/>
    <w:basedOn w:val="1"/>
    <w:link w:val="22"/>
    <w:semiHidden/>
    <w:unhideWhenUsed/>
    <w:uiPriority w:val="99"/>
    <w:pPr>
      <w:tabs>
        <w:tab w:val="center" w:pos="4153"/>
        <w:tab w:val="right" w:pos="8306"/>
      </w:tabs>
      <w:snapToGrid w:val="0"/>
      <w:jc w:val="left"/>
    </w:pPr>
    <w:rPr>
      <w:sz w:val="18"/>
      <w:szCs w:val="18"/>
    </w:rPr>
  </w:style>
  <w:style w:type="paragraph" w:styleId="8">
    <w:name w:val="header"/>
    <w:basedOn w:val="1"/>
    <w:link w:val="21"/>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5"/>
    <w:link w:val="19"/>
    <w:qFormat/>
    <w:uiPriority w:val="0"/>
    <w:pPr>
      <w:ind w:firstLine="420" w:firstLineChars="200"/>
    </w:pPr>
    <w:rPr>
      <w:rFonts w:ascii="Calibri" w:hAnsi="Calibri"/>
    </w:rPr>
  </w:style>
  <w:style w:type="character" w:customStyle="1" w:styleId="12">
    <w:name w:val="标题 2 Char"/>
    <w:basedOn w:val="11"/>
    <w:link w:val="3"/>
    <w:semiHidden/>
    <w:uiPriority w:val="9"/>
    <w:rPr>
      <w:rFonts w:asciiTheme="majorHAnsi" w:hAnsiTheme="majorHAnsi" w:eastAsiaTheme="majorEastAsia" w:cstheme="majorBidi"/>
      <w:b/>
      <w:bCs/>
      <w:sz w:val="32"/>
      <w:szCs w:val="32"/>
    </w:rPr>
  </w:style>
  <w:style w:type="character" w:customStyle="1" w:styleId="13">
    <w:name w:val="标题 3 Char"/>
    <w:basedOn w:val="11"/>
    <w:link w:val="4"/>
    <w:semiHidden/>
    <w:uiPriority w:val="9"/>
    <w:rPr>
      <w:rFonts w:ascii="Times New Roman" w:hAnsi="Times New Roman" w:eastAsia="宋体" w:cs="Times New Roman"/>
      <w:b/>
      <w:bCs/>
      <w:sz w:val="32"/>
      <w:szCs w:val="32"/>
    </w:rPr>
  </w:style>
  <w:style w:type="character" w:customStyle="1" w:styleId="14">
    <w:name w:val="正文文本 Char"/>
    <w:basedOn w:val="11"/>
    <w:link w:val="2"/>
    <w:semiHidden/>
    <w:uiPriority w:val="99"/>
    <w:rPr>
      <w:rFonts w:ascii="Times New Roman" w:hAnsi="Times New Roman" w:eastAsia="宋体" w:cs="Times New Roman"/>
    </w:rPr>
  </w:style>
  <w:style w:type="character" w:customStyle="1" w:styleId="15">
    <w:name w:val="正文文本 Char1"/>
    <w:link w:val="2"/>
    <w:locked/>
    <w:uiPriority w:val="99"/>
    <w:rPr>
      <w:rFonts w:ascii="宋体" w:hAnsi="宋体" w:eastAsia="宋体" w:cs="Times New Roman"/>
      <w:kern w:val="0"/>
      <w:sz w:val="23"/>
      <w:szCs w:val="20"/>
      <w:lang w:eastAsia="en-US"/>
    </w:rPr>
  </w:style>
  <w:style w:type="character" w:customStyle="1" w:styleId="16">
    <w:name w:val="标题 2 Char1"/>
    <w:link w:val="3"/>
    <w:locked/>
    <w:uiPriority w:val="9"/>
    <w:rPr>
      <w:rFonts w:ascii="等线 Light" w:hAnsi="等线 Light" w:eastAsia="等线 Light" w:cs="Times New Roman"/>
      <w:b/>
      <w:kern w:val="0"/>
      <w:sz w:val="32"/>
      <w:szCs w:val="20"/>
    </w:rPr>
  </w:style>
  <w:style w:type="character" w:customStyle="1" w:styleId="17">
    <w:name w:val="标题 3 Char1"/>
    <w:link w:val="4"/>
    <w:locked/>
    <w:uiPriority w:val="9"/>
    <w:rPr>
      <w:rFonts w:ascii="Times New Roman" w:hAnsi="Times New Roman" w:eastAsia="宋体" w:cs="Times New Roman"/>
      <w:b/>
      <w:kern w:val="0"/>
      <w:sz w:val="32"/>
      <w:szCs w:val="20"/>
    </w:rPr>
  </w:style>
  <w:style w:type="character" w:customStyle="1" w:styleId="18">
    <w:name w:val="正文文本缩进 Char"/>
    <w:basedOn w:val="11"/>
    <w:link w:val="6"/>
    <w:semiHidden/>
    <w:uiPriority w:val="99"/>
    <w:rPr>
      <w:rFonts w:ascii="Times New Roman" w:hAnsi="Times New Roman" w:eastAsia="宋体" w:cs="Times New Roman"/>
    </w:rPr>
  </w:style>
  <w:style w:type="character" w:customStyle="1" w:styleId="19">
    <w:name w:val="正文首行缩进 2 Char"/>
    <w:basedOn w:val="18"/>
    <w:link w:val="9"/>
    <w:uiPriority w:val="0"/>
    <w:rPr>
      <w:rFonts w:ascii="Calibri" w:hAnsi="Calibri"/>
    </w:rPr>
  </w:style>
  <w:style w:type="character" w:customStyle="1" w:styleId="20">
    <w:name w:val="批注文字 Char"/>
    <w:basedOn w:val="11"/>
    <w:link w:val="5"/>
    <w:semiHidden/>
    <w:uiPriority w:val="99"/>
    <w:rPr>
      <w:rFonts w:ascii="Times New Roman" w:hAnsi="Times New Roman" w:eastAsia="宋体" w:cs="Times New Roman"/>
    </w:rPr>
  </w:style>
  <w:style w:type="character" w:customStyle="1" w:styleId="21">
    <w:name w:val="页眉 Char"/>
    <w:basedOn w:val="11"/>
    <w:link w:val="8"/>
    <w:semiHidden/>
    <w:uiPriority w:val="99"/>
    <w:rPr>
      <w:rFonts w:ascii="Times New Roman" w:hAnsi="Times New Roman" w:eastAsia="宋体" w:cs="Times New Roman"/>
      <w:sz w:val="18"/>
      <w:szCs w:val="18"/>
    </w:rPr>
  </w:style>
  <w:style w:type="character" w:customStyle="1" w:styleId="22">
    <w:name w:val="页脚 Char"/>
    <w:basedOn w:val="11"/>
    <w:link w:val="7"/>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8</Pages>
  <Words>4825</Words>
  <Characters>5255</Characters>
  <Lines>39</Lines>
  <Paragraphs>11</Paragraphs>
  <TotalTime>0</TotalTime>
  <ScaleCrop>false</ScaleCrop>
  <LinksUpToDate>false</LinksUpToDate>
  <CharactersWithSpaces>5337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2022-12-09T03:14:00Z</dcterms:created>
  <dc:creator>侯满忠</dc:creator>
  <cp:lastModifiedBy>丁燕</cp:lastModifiedBy>
  <dcterms:modified xsi:type="dcterms:W3CDTF">2022-12-09T03:30:18Z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0BA82B41FE494A9B89A3AA431AEB23D9</vt:lpwstr>
  </property>
</Properties>
</file>