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left="0"/>
        <w:outlineLvl w:val="1"/>
        <w:rPr>
          <w:rFonts w:ascii="宋体" w:hAnsi="宋体"/>
          <w:b/>
          <w:bCs/>
          <w:sz w:val="24"/>
          <w:highlight w:val="none"/>
          <w:lang w:eastAsia="zh-CN"/>
        </w:rPr>
      </w:pPr>
      <w:bookmarkStart w:id="0" w:name="_Toc519088324"/>
      <w:bookmarkStart w:id="1" w:name="OLE_LINK1"/>
      <w:r>
        <w:rPr>
          <w:rFonts w:hint="eastAsia" w:ascii="宋体" w:hAnsi="宋体"/>
          <w:b/>
          <w:bCs/>
          <w:sz w:val="24"/>
          <w:highlight w:val="none"/>
          <w:lang w:eastAsia="zh-CN"/>
        </w:rPr>
        <w:t>附件</w:t>
      </w:r>
      <w:r>
        <w:rPr>
          <w:rFonts w:ascii="宋体" w:hAnsi="宋体"/>
          <w:b/>
          <w:bCs/>
          <w:sz w:val="24"/>
          <w:highlight w:val="none"/>
          <w:lang w:eastAsia="zh-CN"/>
        </w:rPr>
        <w:t>1</w:t>
      </w:r>
      <w:r>
        <w:rPr>
          <w:rFonts w:hint="eastAsia" w:ascii="宋体" w:hAnsi="宋体"/>
          <w:b/>
          <w:bCs/>
          <w:sz w:val="24"/>
          <w:highlight w:val="none"/>
          <w:lang w:eastAsia="zh-CN"/>
        </w:rPr>
        <w:t>：资格审查条件</w:t>
      </w:r>
    </w:p>
    <w:p>
      <w:pPr>
        <w:jc w:val="center"/>
        <w:rPr>
          <w:rFonts w:ascii="宋体" w:hAnsi="宋体"/>
          <w:b/>
          <w:bCs/>
          <w:sz w:val="24"/>
          <w:highlight w:val="none"/>
          <w:lang w:eastAsia="zh-CN"/>
        </w:rPr>
      </w:pPr>
      <w:bookmarkStart w:id="2" w:name="_Hlk44947073"/>
      <w:bookmarkStart w:id="3" w:name="_Toc524343453"/>
      <w:r>
        <w:rPr>
          <w:rFonts w:hint="eastAsia" w:ascii="宋体" w:hAnsi="宋体"/>
          <w:b/>
          <w:bCs/>
          <w:sz w:val="24"/>
          <w:highlight w:val="none"/>
          <w:lang w:eastAsia="zh-CN"/>
        </w:rPr>
        <w:t>附录</w:t>
      </w:r>
      <w:r>
        <w:rPr>
          <w:rFonts w:ascii="宋体" w:hAnsi="宋体"/>
          <w:b/>
          <w:bCs/>
          <w:sz w:val="24"/>
          <w:highlight w:val="none"/>
          <w:lang w:eastAsia="zh-CN"/>
        </w:rPr>
        <w:t xml:space="preserve">1 </w:t>
      </w:r>
      <w:bookmarkEnd w:id="2"/>
      <w:r>
        <w:rPr>
          <w:rFonts w:ascii="宋体" w:hAnsi="宋体"/>
          <w:b/>
          <w:bCs/>
          <w:sz w:val="24"/>
          <w:highlight w:val="none"/>
          <w:lang w:eastAsia="zh-CN"/>
        </w:rPr>
        <w:t xml:space="preserve"> </w:t>
      </w:r>
      <w:r>
        <w:rPr>
          <w:rFonts w:hint="eastAsia" w:ascii="宋体" w:hAnsi="宋体"/>
          <w:b/>
          <w:bCs/>
          <w:sz w:val="24"/>
          <w:highlight w:val="none"/>
          <w:lang w:eastAsia="zh-CN"/>
        </w:rPr>
        <w:t>资格审查条件</w:t>
      </w:r>
      <w:r>
        <w:rPr>
          <w:rFonts w:ascii="宋体" w:hAnsi="宋体"/>
          <w:b/>
          <w:bCs/>
          <w:sz w:val="24"/>
          <w:highlight w:val="none"/>
          <w:lang w:eastAsia="zh-CN"/>
        </w:rPr>
        <w:t>(</w:t>
      </w:r>
      <w:r>
        <w:rPr>
          <w:rFonts w:hint="eastAsia" w:ascii="宋体" w:hAnsi="宋体"/>
          <w:b/>
          <w:bCs/>
          <w:sz w:val="24"/>
          <w:highlight w:val="none"/>
          <w:lang w:eastAsia="zh-CN"/>
        </w:rPr>
        <w:t>资质最低要求</w:t>
      </w:r>
      <w:r>
        <w:rPr>
          <w:rFonts w:ascii="宋体" w:hAnsi="宋体"/>
          <w:b/>
          <w:bCs/>
          <w:sz w:val="24"/>
          <w:highlight w:val="none"/>
          <w:lang w:eastAsia="zh-CN"/>
        </w:rPr>
        <w:t>)</w:t>
      </w:r>
      <w:bookmarkEnd w:id="3"/>
    </w:p>
    <w:tbl>
      <w:tblPr>
        <w:tblStyle w:val="6"/>
        <w:tblW w:w="96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6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4" w:hRule="atLeast"/>
          <w:tblHeader/>
          <w:jc w:val="center"/>
        </w:trPr>
        <w:tc>
          <w:tcPr>
            <w:tcW w:w="9613" w:type="dxa"/>
            <w:vAlign w:val="center"/>
          </w:tcPr>
          <w:p>
            <w:pPr>
              <w:jc w:val="center"/>
              <w:rPr>
                <w:rFonts w:ascii="宋体" w:hAnsi="宋体"/>
                <w:sz w:val="24"/>
                <w:highlight w:val="none"/>
                <w:lang w:eastAsia="zh-CN"/>
              </w:rPr>
            </w:pPr>
            <w:r>
              <w:rPr>
                <w:rFonts w:hint="eastAsia" w:ascii="宋体" w:hAnsi="宋体"/>
                <w:sz w:val="24"/>
                <w:highlight w:val="none"/>
                <w:lang w:eastAsia="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23" w:hRule="atLeast"/>
          <w:jc w:val="center"/>
        </w:trPr>
        <w:tc>
          <w:tcPr>
            <w:tcW w:w="9613" w:type="dxa"/>
            <w:vAlign w:val="center"/>
          </w:tcPr>
          <w:p>
            <w:pPr>
              <w:rPr>
                <w:rFonts w:ascii="宋体" w:hAnsi="宋体" w:eastAsia="宋体" w:cs="宋体"/>
                <w:sz w:val="21"/>
                <w:szCs w:val="21"/>
                <w:highlight w:val="none"/>
                <w:shd w:val="clear" w:color="auto" w:fill="FFFFFF"/>
                <w:lang w:eastAsia="zh-CN"/>
              </w:rPr>
            </w:pPr>
            <w:r>
              <w:rPr>
                <w:rFonts w:hint="eastAsia" w:ascii="宋体" w:hAnsi="宋体"/>
                <w:sz w:val="24"/>
                <w:highlight w:val="none"/>
                <w:lang w:eastAsia="zh-CN"/>
              </w:rPr>
              <w:t>投标人应为在中华人民共和国境内注册的具有独立法人资格的供应商；持有有效的营业执照。</w:t>
            </w:r>
          </w:p>
        </w:tc>
      </w:tr>
    </w:tbl>
    <w:p>
      <w:pPr>
        <w:pStyle w:val="10"/>
        <w:wordWrap w:val="0"/>
        <w:adjustRightInd w:val="0"/>
        <w:snapToGrid w:val="0"/>
        <w:rPr>
          <w:rFonts w:ascii="宋体" w:hAnsi="宋体" w:eastAsia="宋体"/>
          <w:b/>
          <w:sz w:val="21"/>
          <w:szCs w:val="21"/>
          <w:highlight w:val="none"/>
          <w:shd w:val="clear" w:color="auto" w:fill="FFFFFF"/>
          <w:lang w:eastAsia="zh-CN"/>
        </w:rPr>
      </w:pPr>
    </w:p>
    <w:p>
      <w:pPr>
        <w:pStyle w:val="10"/>
        <w:wordWrap w:val="0"/>
        <w:adjustRightInd w:val="0"/>
        <w:snapToGrid w:val="0"/>
        <w:rPr>
          <w:rFonts w:ascii="宋体" w:hAnsi="宋体" w:eastAsia="宋体"/>
          <w:b/>
          <w:sz w:val="21"/>
          <w:szCs w:val="21"/>
          <w:highlight w:val="none"/>
          <w:shd w:val="clear" w:color="auto" w:fill="FFFFFF"/>
          <w:lang w:eastAsia="zh-CN"/>
        </w:rPr>
      </w:pPr>
    </w:p>
    <w:p>
      <w:pPr>
        <w:pStyle w:val="10"/>
        <w:wordWrap w:val="0"/>
        <w:adjustRightInd w:val="0"/>
        <w:snapToGrid w:val="0"/>
        <w:rPr>
          <w:rFonts w:ascii="宋体" w:hAnsi="宋体" w:eastAsia="宋体"/>
          <w:b/>
          <w:sz w:val="21"/>
          <w:szCs w:val="21"/>
          <w:highlight w:val="none"/>
          <w:shd w:val="clear" w:color="auto" w:fill="FFFFFF"/>
          <w:lang w:eastAsia="zh-CN"/>
        </w:rPr>
      </w:pPr>
    </w:p>
    <w:p>
      <w:pPr>
        <w:jc w:val="center"/>
        <w:rPr>
          <w:rFonts w:ascii="宋体" w:hAnsi="宋体"/>
          <w:b/>
          <w:bCs/>
          <w:sz w:val="24"/>
          <w:highlight w:val="none"/>
          <w:lang w:eastAsia="zh-CN"/>
        </w:rPr>
      </w:pPr>
      <w:bookmarkStart w:id="4" w:name="_Toc524343454"/>
      <w:bookmarkStart w:id="5" w:name="_Toc524343455"/>
      <w:r>
        <w:rPr>
          <w:rFonts w:hint="eastAsia" w:ascii="宋体" w:hAnsi="宋体"/>
          <w:b/>
          <w:bCs/>
          <w:sz w:val="24"/>
          <w:highlight w:val="none"/>
          <w:lang w:eastAsia="zh-CN"/>
        </w:rPr>
        <w:t>附录</w:t>
      </w:r>
      <w:r>
        <w:rPr>
          <w:rFonts w:ascii="宋体" w:hAnsi="宋体"/>
          <w:b/>
          <w:bCs/>
          <w:sz w:val="24"/>
          <w:highlight w:val="none"/>
          <w:lang w:eastAsia="zh-CN"/>
        </w:rPr>
        <w:t xml:space="preserve">2  </w:t>
      </w:r>
      <w:r>
        <w:rPr>
          <w:rFonts w:hint="eastAsia" w:ascii="宋体" w:hAnsi="宋体"/>
          <w:b/>
          <w:bCs/>
          <w:sz w:val="24"/>
          <w:highlight w:val="none"/>
          <w:lang w:eastAsia="zh-CN"/>
        </w:rPr>
        <w:t>资格审查条件</w:t>
      </w:r>
      <w:r>
        <w:rPr>
          <w:rFonts w:ascii="宋体" w:hAnsi="宋体"/>
          <w:b/>
          <w:bCs/>
          <w:sz w:val="24"/>
          <w:highlight w:val="none"/>
          <w:lang w:eastAsia="zh-CN"/>
        </w:rPr>
        <w:t>(</w:t>
      </w:r>
      <w:r>
        <w:rPr>
          <w:rFonts w:hint="eastAsia" w:ascii="宋体" w:hAnsi="宋体"/>
          <w:b/>
          <w:bCs/>
          <w:sz w:val="24"/>
          <w:highlight w:val="none"/>
          <w:lang w:eastAsia="zh-CN"/>
        </w:rPr>
        <w:t>业绩最低要求</w:t>
      </w:r>
      <w:r>
        <w:rPr>
          <w:rFonts w:ascii="宋体" w:hAnsi="宋体"/>
          <w:b/>
          <w:bCs/>
          <w:sz w:val="24"/>
          <w:highlight w:val="none"/>
          <w:lang w:eastAsia="zh-CN"/>
        </w:rPr>
        <w:t>)</w:t>
      </w:r>
      <w:bookmarkEnd w:id="4"/>
    </w:p>
    <w:tbl>
      <w:tblPr>
        <w:tblStyle w:val="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614" w:type="dxa"/>
            <w:vAlign w:val="center"/>
          </w:tcPr>
          <w:p>
            <w:pPr>
              <w:jc w:val="center"/>
              <w:rPr>
                <w:rFonts w:ascii="宋体" w:hAnsi="宋体" w:eastAsia="宋体"/>
                <w:b/>
                <w:sz w:val="21"/>
                <w:szCs w:val="21"/>
                <w:highlight w:val="none"/>
                <w:shd w:val="clear" w:color="auto" w:fill="FFFFFF"/>
              </w:rPr>
            </w:pPr>
            <w:r>
              <w:rPr>
                <w:rFonts w:hint="eastAsia" w:ascii="宋体" w:hAnsi="宋体"/>
                <w:b/>
                <w:bCs/>
                <w:sz w:val="24"/>
                <w:highlight w:val="none"/>
                <w:lang w:eastAsia="zh-C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9614" w:type="dxa"/>
            <w:vAlign w:val="center"/>
          </w:tcPr>
          <w:p>
            <w:pPr>
              <w:rPr>
                <w:rFonts w:ascii="宋体" w:hAnsi="宋体"/>
                <w:sz w:val="24"/>
                <w:highlight w:val="none"/>
                <w:lang w:eastAsia="zh-CN"/>
              </w:rPr>
            </w:pPr>
            <w:bookmarkStart w:id="6" w:name="_Hlk85816180"/>
            <w:r>
              <w:rPr>
                <w:rFonts w:hint="eastAsia" w:ascii="宋体" w:hAnsi="宋体"/>
                <w:sz w:val="24"/>
                <w:highlight w:val="none"/>
                <w:lang w:eastAsia="zh-CN"/>
              </w:rPr>
              <w:t>近3年内(201</w:t>
            </w:r>
            <w:r>
              <w:rPr>
                <w:rFonts w:ascii="宋体" w:hAnsi="宋体"/>
                <w:sz w:val="24"/>
                <w:highlight w:val="none"/>
                <w:lang w:eastAsia="zh-CN"/>
              </w:rPr>
              <w:t>9</w:t>
            </w:r>
            <w:r>
              <w:rPr>
                <w:rFonts w:hint="eastAsia" w:ascii="宋体" w:hAnsi="宋体"/>
                <w:sz w:val="24"/>
                <w:highlight w:val="none"/>
                <w:lang w:eastAsia="zh-CN"/>
              </w:rPr>
              <w:t>年</w:t>
            </w:r>
            <w:r>
              <w:rPr>
                <w:rFonts w:ascii="宋体" w:hAnsi="宋体"/>
                <w:sz w:val="24"/>
                <w:highlight w:val="none"/>
                <w:lang w:eastAsia="zh-CN"/>
              </w:rPr>
              <w:t>11月1日</w:t>
            </w:r>
            <w:r>
              <w:rPr>
                <w:rFonts w:hint="eastAsia" w:ascii="宋体" w:hAnsi="宋体"/>
                <w:sz w:val="24"/>
                <w:highlight w:val="none"/>
                <w:lang w:eastAsia="zh-CN"/>
              </w:rPr>
              <w:t>至今，以合同签订时间为准)至少完成过一项醇基液体燃料供货项目业绩。</w:t>
            </w:r>
          </w:p>
        </w:tc>
      </w:tr>
      <w:bookmarkEnd w:id="6"/>
    </w:tbl>
    <w:p>
      <w:pPr>
        <w:pStyle w:val="10"/>
        <w:wordWrap w:val="0"/>
        <w:adjustRightInd w:val="0"/>
        <w:snapToGrid w:val="0"/>
        <w:rPr>
          <w:rFonts w:ascii="宋体" w:hAnsi="宋体" w:eastAsia="宋体"/>
          <w:b/>
          <w:sz w:val="21"/>
          <w:szCs w:val="21"/>
          <w:highlight w:val="none"/>
          <w:shd w:val="clear" w:color="auto" w:fill="FFFFFF"/>
          <w:lang w:eastAsia="zh-CN"/>
        </w:rPr>
      </w:pPr>
    </w:p>
    <w:p>
      <w:pPr>
        <w:pStyle w:val="10"/>
        <w:wordWrap w:val="0"/>
        <w:adjustRightInd w:val="0"/>
        <w:snapToGrid w:val="0"/>
        <w:rPr>
          <w:rFonts w:ascii="宋体" w:hAnsi="宋体" w:eastAsia="宋体"/>
          <w:b/>
          <w:sz w:val="21"/>
          <w:szCs w:val="21"/>
          <w:highlight w:val="none"/>
          <w:shd w:val="clear" w:color="auto" w:fill="FFFFFF"/>
          <w:lang w:eastAsia="zh-CN"/>
        </w:rPr>
      </w:pPr>
    </w:p>
    <w:p>
      <w:pPr>
        <w:jc w:val="center"/>
        <w:rPr>
          <w:rFonts w:ascii="宋体" w:hAnsi="宋体"/>
          <w:b/>
          <w:bCs/>
          <w:sz w:val="24"/>
          <w:highlight w:val="none"/>
          <w:lang w:eastAsia="zh-CN"/>
        </w:rPr>
      </w:pPr>
      <w:bookmarkStart w:id="7" w:name="_Hlk44950162"/>
      <w:r>
        <w:rPr>
          <w:rFonts w:hint="eastAsia" w:ascii="宋体" w:hAnsi="宋体"/>
          <w:b/>
          <w:bCs/>
          <w:sz w:val="24"/>
          <w:highlight w:val="none"/>
          <w:lang w:eastAsia="zh-CN"/>
        </w:rPr>
        <w:t>附录</w:t>
      </w:r>
      <w:bookmarkEnd w:id="7"/>
      <w:r>
        <w:rPr>
          <w:rFonts w:hint="eastAsia" w:ascii="宋体" w:hAnsi="宋体"/>
          <w:b/>
          <w:bCs/>
          <w:sz w:val="24"/>
          <w:highlight w:val="none"/>
          <w:lang w:eastAsia="zh-CN"/>
        </w:rPr>
        <w:t>3</w:t>
      </w:r>
      <w:r>
        <w:rPr>
          <w:rFonts w:ascii="宋体" w:hAnsi="宋体"/>
          <w:b/>
          <w:bCs/>
          <w:sz w:val="24"/>
          <w:highlight w:val="none"/>
          <w:lang w:eastAsia="zh-CN"/>
        </w:rPr>
        <w:t xml:space="preserve">  </w:t>
      </w:r>
      <w:r>
        <w:rPr>
          <w:rFonts w:hint="eastAsia" w:ascii="宋体" w:hAnsi="宋体"/>
          <w:b/>
          <w:bCs/>
          <w:sz w:val="24"/>
          <w:highlight w:val="none"/>
          <w:lang w:eastAsia="zh-CN"/>
        </w:rPr>
        <w:t>资格审查条件</w:t>
      </w:r>
      <w:r>
        <w:rPr>
          <w:rFonts w:ascii="宋体" w:hAnsi="宋体"/>
          <w:b/>
          <w:bCs/>
          <w:sz w:val="24"/>
          <w:highlight w:val="none"/>
          <w:lang w:eastAsia="zh-CN"/>
        </w:rPr>
        <w:t>(</w:t>
      </w:r>
      <w:r>
        <w:rPr>
          <w:rFonts w:hint="eastAsia" w:ascii="宋体" w:hAnsi="宋体"/>
          <w:b/>
          <w:bCs/>
          <w:sz w:val="24"/>
          <w:highlight w:val="none"/>
          <w:lang w:eastAsia="zh-CN"/>
        </w:rPr>
        <w:t>信誉最低要求</w:t>
      </w:r>
      <w:r>
        <w:rPr>
          <w:rFonts w:ascii="宋体" w:hAnsi="宋体"/>
          <w:b/>
          <w:bCs/>
          <w:sz w:val="24"/>
          <w:highlight w:val="none"/>
          <w:lang w:eastAsia="zh-CN"/>
        </w:rPr>
        <w:t>)</w:t>
      </w:r>
      <w:bookmarkEnd w:id="5"/>
    </w:p>
    <w:tbl>
      <w:tblPr>
        <w:tblStyle w:val="6"/>
        <w:tblW w:w="96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5" w:hRule="atLeast"/>
          <w:jc w:val="center"/>
        </w:trPr>
        <w:tc>
          <w:tcPr>
            <w:tcW w:w="9608" w:type="dxa"/>
            <w:vAlign w:val="center"/>
          </w:tcPr>
          <w:p>
            <w:pPr>
              <w:jc w:val="center"/>
              <w:rPr>
                <w:rFonts w:ascii="宋体" w:hAnsi="宋体" w:eastAsia="宋体"/>
                <w:b/>
                <w:sz w:val="21"/>
                <w:szCs w:val="21"/>
                <w:highlight w:val="none"/>
                <w:shd w:val="clear" w:color="auto" w:fill="FFFFFF"/>
              </w:rPr>
            </w:pPr>
            <w:r>
              <w:rPr>
                <w:rFonts w:hint="eastAsia" w:ascii="宋体" w:hAnsi="宋体"/>
                <w:b/>
                <w:bCs/>
                <w:sz w:val="24"/>
                <w:highlight w:val="none"/>
                <w:lang w:eastAsia="zh-CN"/>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8" w:hRule="atLeast"/>
          <w:jc w:val="center"/>
        </w:trPr>
        <w:tc>
          <w:tcPr>
            <w:tcW w:w="9608" w:type="dxa"/>
            <w:vAlign w:val="center"/>
          </w:tcPr>
          <w:p>
            <w:pPr>
              <w:rPr>
                <w:rFonts w:ascii="宋体" w:hAnsi="宋体"/>
                <w:sz w:val="24"/>
                <w:highlight w:val="none"/>
                <w:lang w:eastAsia="zh-CN"/>
              </w:rPr>
            </w:pPr>
            <w:bookmarkStart w:id="8" w:name="_Hlk44946937"/>
            <w:r>
              <w:rPr>
                <w:rFonts w:hint="eastAsia" w:ascii="宋体" w:hAnsi="宋体"/>
                <w:sz w:val="24"/>
                <w:highlight w:val="none"/>
                <w:lang w:eastAsia="zh-CN"/>
              </w:rPr>
              <w:t>投标人在过去</w:t>
            </w:r>
            <w:r>
              <w:rPr>
                <w:rFonts w:ascii="宋体" w:hAnsi="宋体"/>
                <w:sz w:val="24"/>
                <w:highlight w:val="none"/>
                <w:lang w:eastAsia="zh-CN"/>
              </w:rPr>
              <w:t>1</w:t>
            </w:r>
            <w:r>
              <w:rPr>
                <w:rFonts w:hint="eastAsia" w:ascii="宋体" w:hAnsi="宋体"/>
                <w:sz w:val="24"/>
                <w:highlight w:val="none"/>
                <w:lang w:eastAsia="zh-CN"/>
              </w:rPr>
              <w:t>年中</w:t>
            </w:r>
            <w:r>
              <w:rPr>
                <w:rFonts w:ascii="宋体" w:hAnsi="宋体"/>
                <w:sz w:val="24"/>
                <w:highlight w:val="none"/>
                <w:lang w:eastAsia="zh-CN"/>
              </w:rPr>
              <w:t>(2021年11月1日</w:t>
            </w:r>
            <w:r>
              <w:rPr>
                <w:rFonts w:hint="eastAsia" w:ascii="宋体" w:hAnsi="宋体"/>
                <w:sz w:val="24"/>
                <w:highlight w:val="none"/>
                <w:lang w:eastAsia="zh-CN"/>
              </w:rPr>
              <w:t>至今</w:t>
            </w:r>
            <w:r>
              <w:rPr>
                <w:rFonts w:ascii="宋体" w:hAnsi="宋体"/>
                <w:sz w:val="24"/>
                <w:highlight w:val="none"/>
                <w:lang w:eastAsia="zh-CN"/>
              </w:rPr>
              <w:t>)</w:t>
            </w:r>
            <w:r>
              <w:rPr>
                <w:rFonts w:hint="eastAsia" w:ascii="宋体" w:hAnsi="宋体"/>
                <w:sz w:val="24"/>
                <w:highlight w:val="none"/>
                <w:lang w:eastAsia="zh-CN"/>
              </w:rPr>
              <w:t>不曾在供货合同中因违约而被驱逐或因投标人自身的原因而使供货合同被解除。</w:t>
            </w:r>
            <w:bookmarkEnd w:id="8"/>
          </w:p>
        </w:tc>
      </w:tr>
    </w:tbl>
    <w:p>
      <w:pPr>
        <w:jc w:val="center"/>
        <w:rPr>
          <w:rFonts w:hint="eastAsia" w:ascii="宋体" w:hAnsi="宋体"/>
          <w:b/>
          <w:bCs/>
          <w:sz w:val="24"/>
          <w:highlight w:val="none"/>
          <w:lang w:eastAsia="zh-CN"/>
        </w:rPr>
      </w:pPr>
    </w:p>
    <w:p>
      <w:pPr>
        <w:jc w:val="center"/>
        <w:rPr>
          <w:rFonts w:ascii="宋体" w:hAnsi="宋体"/>
          <w:b/>
          <w:bCs/>
          <w:sz w:val="24"/>
          <w:highlight w:val="none"/>
          <w:lang w:eastAsia="zh-CN"/>
        </w:rPr>
      </w:pPr>
      <w:r>
        <w:rPr>
          <w:rFonts w:hint="eastAsia" w:ascii="宋体" w:hAnsi="宋体"/>
          <w:b/>
          <w:bCs/>
          <w:sz w:val="24"/>
          <w:highlight w:val="none"/>
          <w:lang w:eastAsia="zh-CN"/>
        </w:rPr>
        <w:t>附录</w:t>
      </w:r>
      <w:r>
        <w:rPr>
          <w:rFonts w:hint="eastAsia" w:ascii="宋体" w:hAnsi="宋体"/>
          <w:b/>
          <w:bCs/>
          <w:sz w:val="24"/>
          <w:highlight w:val="none"/>
          <w:lang w:val="en-US" w:eastAsia="zh-CN"/>
        </w:rPr>
        <w:t>4</w:t>
      </w:r>
      <w:r>
        <w:rPr>
          <w:rFonts w:ascii="宋体" w:hAnsi="宋体"/>
          <w:b/>
          <w:bCs/>
          <w:sz w:val="24"/>
          <w:highlight w:val="none"/>
          <w:lang w:eastAsia="zh-CN"/>
        </w:rPr>
        <w:t xml:space="preserve">  </w:t>
      </w:r>
      <w:r>
        <w:rPr>
          <w:rFonts w:hint="eastAsia" w:ascii="宋体" w:hAnsi="宋体"/>
          <w:b/>
          <w:bCs/>
          <w:sz w:val="24"/>
          <w:highlight w:val="none"/>
          <w:lang w:eastAsia="zh-CN"/>
        </w:rPr>
        <w:t>其它要求</w:t>
      </w:r>
    </w:p>
    <w:tbl>
      <w:tblPr>
        <w:tblStyle w:val="6"/>
        <w:tblW w:w="96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9608" w:type="dxa"/>
            <w:vAlign w:val="center"/>
          </w:tcPr>
          <w:p>
            <w:pPr>
              <w:jc w:val="center"/>
              <w:rPr>
                <w:rFonts w:ascii="宋体" w:hAnsi="宋体" w:eastAsia="宋体"/>
                <w:b/>
                <w:sz w:val="21"/>
                <w:szCs w:val="21"/>
                <w:highlight w:val="none"/>
                <w:shd w:val="clear" w:color="auto" w:fill="FFFFFF"/>
              </w:rPr>
            </w:pPr>
            <w:r>
              <w:rPr>
                <w:rFonts w:hint="eastAsia" w:ascii="宋体" w:hAnsi="宋体"/>
                <w:b/>
                <w:bCs/>
                <w:sz w:val="24"/>
                <w:highlight w:val="none"/>
                <w:lang w:eastAsia="zh-CN"/>
              </w:rPr>
              <w:t>其它要求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8" w:hRule="atLeast"/>
          <w:jc w:val="center"/>
        </w:trPr>
        <w:tc>
          <w:tcPr>
            <w:tcW w:w="9608" w:type="dxa"/>
            <w:vAlign w:val="center"/>
          </w:tcPr>
          <w:p>
            <w:pPr>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）投标人须具有有效的危险化学品经营许可证。</w:t>
            </w:r>
          </w:p>
          <w:p>
            <w:pPr>
              <w:rPr>
                <w:rFonts w:ascii="宋体" w:hAnsi="宋体"/>
                <w:sz w:val="24"/>
                <w:highlight w:val="none"/>
                <w:lang w:eastAsia="zh-CN"/>
              </w:rPr>
            </w:pPr>
            <w:r>
              <w:rPr>
                <w:rFonts w:hint="eastAsia" w:ascii="宋体" w:hAnsi="宋体"/>
                <w:sz w:val="24"/>
                <w:highlight w:val="none"/>
                <w:lang w:eastAsia="zh-CN"/>
              </w:rPr>
              <w:t>（2）供应商的运输车辆须具备所有权凭证或租赁协议，且具备危险货物运输许可证或道路运输经营许可证。（涵盖危险货物运输）</w:t>
            </w:r>
          </w:p>
        </w:tc>
      </w:tr>
    </w:tbl>
    <w:p>
      <w:pPr>
        <w:pStyle w:val="9"/>
        <w:spacing w:line="360" w:lineRule="auto"/>
        <w:ind w:left="0" w:leftChars="0" w:firstLine="0" w:firstLineChars="0"/>
        <w:outlineLvl w:val="1"/>
        <w:rPr>
          <w:rFonts w:ascii="宋体" w:hAnsi="宋体" w:eastAsia="宋体"/>
          <w:b w:val="0"/>
          <w:bCs w:val="0"/>
          <w:sz w:val="24"/>
          <w:szCs w:val="24"/>
          <w:highlight w:val="none"/>
          <w:lang w:eastAsia="zh-CN"/>
        </w:rPr>
      </w:pPr>
    </w:p>
    <w:p>
      <w:pPr>
        <w:pStyle w:val="9"/>
        <w:spacing w:line="360" w:lineRule="auto"/>
        <w:ind w:left="0" w:leftChars="0" w:firstLine="0" w:firstLineChars="0"/>
        <w:outlineLvl w:val="1"/>
        <w:rPr>
          <w:rFonts w:hint="eastAsia" w:ascii="宋体" w:hAnsi="宋体" w:eastAsia="宋体"/>
          <w:sz w:val="24"/>
          <w:szCs w:val="24"/>
          <w:highlight w:val="none"/>
          <w:lang w:eastAsia="zh-CN"/>
        </w:rPr>
      </w:pPr>
    </w:p>
    <w:p>
      <w:pPr>
        <w:pStyle w:val="9"/>
        <w:spacing w:line="360" w:lineRule="auto"/>
        <w:ind w:left="0" w:leftChars="0" w:firstLine="0" w:firstLineChars="0"/>
        <w:outlineLvl w:val="1"/>
        <w:rPr>
          <w:rFonts w:hint="eastAsia" w:ascii="宋体" w:hAnsi="宋体" w:eastAsia="宋体"/>
          <w:sz w:val="24"/>
          <w:szCs w:val="24"/>
          <w:highlight w:val="none"/>
          <w:lang w:eastAsia="zh-CN"/>
        </w:rPr>
      </w:pPr>
    </w:p>
    <w:p>
      <w:pPr>
        <w:pStyle w:val="9"/>
        <w:spacing w:line="360" w:lineRule="auto"/>
        <w:ind w:left="0" w:leftChars="0" w:firstLine="0" w:firstLineChars="0"/>
        <w:outlineLvl w:val="1"/>
        <w:rPr>
          <w:rFonts w:hint="eastAsia" w:ascii="宋体" w:hAnsi="宋体" w:eastAsia="宋体"/>
          <w:sz w:val="24"/>
          <w:szCs w:val="24"/>
          <w:highlight w:val="none"/>
          <w:lang w:eastAsia="zh-CN"/>
        </w:rPr>
      </w:pPr>
    </w:p>
    <w:p>
      <w:pPr>
        <w:pStyle w:val="9"/>
        <w:spacing w:line="360" w:lineRule="auto"/>
        <w:ind w:left="0" w:leftChars="0" w:firstLine="0" w:firstLineChars="0"/>
        <w:outlineLvl w:val="1"/>
        <w:rPr>
          <w:rFonts w:hint="eastAsia" w:ascii="宋体" w:hAnsi="宋体" w:eastAsia="宋体"/>
          <w:sz w:val="24"/>
          <w:szCs w:val="24"/>
          <w:highlight w:val="none"/>
          <w:lang w:eastAsia="zh-CN"/>
        </w:rPr>
      </w:pPr>
    </w:p>
    <w:p>
      <w:pPr>
        <w:pStyle w:val="9"/>
        <w:spacing w:line="360" w:lineRule="auto"/>
        <w:ind w:left="0" w:leftChars="0" w:firstLine="0" w:firstLineChars="0"/>
        <w:outlineLvl w:val="1"/>
        <w:rPr>
          <w:rFonts w:hint="eastAsia" w:ascii="宋体" w:hAnsi="宋体" w:eastAsia="宋体"/>
          <w:sz w:val="24"/>
          <w:szCs w:val="24"/>
          <w:highlight w:val="none"/>
          <w:lang w:eastAsia="zh-CN"/>
        </w:rPr>
      </w:pPr>
    </w:p>
    <w:p>
      <w:pPr>
        <w:pStyle w:val="9"/>
        <w:spacing w:line="360" w:lineRule="auto"/>
        <w:ind w:left="0" w:leftChars="0" w:firstLine="0" w:firstLineChars="0"/>
        <w:outlineLvl w:val="1"/>
        <w:rPr>
          <w:rFonts w:ascii="宋体" w:hAnsi="宋体" w:eastAsia="宋体"/>
          <w:sz w:val="24"/>
          <w:szCs w:val="24"/>
          <w:highlight w:val="none"/>
          <w:lang w:eastAsia="zh-CN"/>
        </w:rPr>
      </w:pPr>
      <w:r>
        <w:rPr>
          <w:rFonts w:hint="eastAsia" w:ascii="宋体" w:hAnsi="宋体" w:eastAsia="宋体"/>
          <w:sz w:val="24"/>
          <w:szCs w:val="24"/>
          <w:highlight w:val="none"/>
          <w:lang w:eastAsia="zh-CN"/>
        </w:rPr>
        <w:t>附件2评标办法</w:t>
      </w:r>
      <w:bookmarkEnd w:id="0"/>
    </w:p>
    <w:p>
      <w:pPr>
        <w:pStyle w:val="5"/>
        <w:spacing w:line="240" w:lineRule="auto"/>
        <w:rPr>
          <w:rFonts w:ascii="宋体" w:hAnsi="宋体" w:eastAsia="宋体" w:cs="宋体"/>
          <w:sz w:val="24"/>
          <w:szCs w:val="24"/>
          <w:highlight w:val="none"/>
        </w:rPr>
      </w:pPr>
      <w:r>
        <w:rPr>
          <w:rFonts w:ascii="宋体" w:hAnsi="宋体" w:eastAsia="宋体" w:cs="宋体"/>
          <w:sz w:val="24"/>
          <w:szCs w:val="24"/>
          <w:highlight w:val="none"/>
        </w:rPr>
        <w:t>评标办法前附表</w:t>
      </w:r>
    </w:p>
    <w:tbl>
      <w:tblPr>
        <w:tblStyle w:val="6"/>
        <w:tblW w:w="10082"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06"/>
        <w:gridCol w:w="1134"/>
        <w:gridCol w:w="2236"/>
        <w:gridCol w:w="5806"/>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pStyle w:val="11"/>
              <w:jc w:val="center"/>
              <w:rPr>
                <w:rFonts w:ascii="宋体" w:hAnsi="宋体" w:eastAsia="宋体" w:cs="Microsoft JhengHei"/>
                <w:b/>
                <w:bCs/>
                <w:sz w:val="21"/>
                <w:szCs w:val="21"/>
                <w:highlight w:val="none"/>
              </w:rPr>
            </w:pPr>
            <w:r>
              <w:rPr>
                <w:rFonts w:ascii="宋体" w:hAnsi="宋体" w:eastAsia="宋体" w:cs="Microsoft JhengHei"/>
                <w:b/>
                <w:bCs/>
                <w:sz w:val="21"/>
                <w:szCs w:val="21"/>
                <w:highlight w:val="none"/>
              </w:rPr>
              <w:t>条款号</w:t>
            </w:r>
          </w:p>
        </w:tc>
        <w:tc>
          <w:tcPr>
            <w:tcW w:w="2236" w:type="dxa"/>
            <w:vAlign w:val="center"/>
          </w:tcPr>
          <w:p>
            <w:pPr>
              <w:pStyle w:val="11"/>
              <w:ind w:left="810"/>
              <w:rPr>
                <w:rFonts w:ascii="宋体" w:hAnsi="宋体" w:eastAsia="宋体" w:cs="Microsoft JhengHei"/>
                <w:sz w:val="21"/>
                <w:szCs w:val="21"/>
                <w:highlight w:val="none"/>
              </w:rPr>
            </w:pPr>
            <w:r>
              <w:rPr>
                <w:rFonts w:ascii="宋体" w:hAnsi="宋体" w:eastAsia="宋体" w:cs="Microsoft JhengHei"/>
                <w:b/>
                <w:bCs/>
                <w:sz w:val="21"/>
                <w:szCs w:val="21"/>
                <w:highlight w:val="none"/>
              </w:rPr>
              <w:t>评审因素</w:t>
            </w:r>
          </w:p>
        </w:tc>
        <w:tc>
          <w:tcPr>
            <w:tcW w:w="5806" w:type="dxa"/>
            <w:vAlign w:val="center"/>
          </w:tcPr>
          <w:p>
            <w:pPr>
              <w:pStyle w:val="11"/>
              <w:ind w:left="1685" w:right="1685"/>
              <w:jc w:val="center"/>
              <w:rPr>
                <w:rFonts w:ascii="宋体" w:hAnsi="宋体" w:eastAsia="宋体" w:cs="Microsoft JhengHei"/>
                <w:sz w:val="21"/>
                <w:szCs w:val="21"/>
                <w:highlight w:val="none"/>
              </w:rPr>
            </w:pPr>
            <w:r>
              <w:rPr>
                <w:rFonts w:ascii="宋体" w:hAnsi="宋体" w:eastAsia="宋体" w:cs="Microsoft JhengHei"/>
                <w:b/>
                <w:bCs/>
                <w:sz w:val="21"/>
                <w:szCs w:val="21"/>
                <w:highlight w:val="none"/>
              </w:rPr>
              <w:t>评审标准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pStyle w:val="11"/>
              <w:ind w:left="371" w:right="371"/>
              <w:jc w:val="center"/>
              <w:rPr>
                <w:rFonts w:ascii="宋体" w:hAnsi="宋体" w:eastAsia="宋体" w:cs="Times New Roman"/>
                <w:sz w:val="21"/>
                <w:szCs w:val="21"/>
                <w:highlight w:val="none"/>
              </w:rPr>
            </w:pPr>
            <w:r>
              <w:rPr>
                <w:rFonts w:ascii="宋体" w:hAnsi="宋体" w:eastAsia="宋体"/>
                <w:sz w:val="21"/>
                <w:szCs w:val="21"/>
                <w:highlight w:val="none"/>
              </w:rPr>
              <w:t>1</w:t>
            </w:r>
          </w:p>
        </w:tc>
        <w:tc>
          <w:tcPr>
            <w:tcW w:w="1134" w:type="dxa"/>
            <w:vAlign w:val="center"/>
          </w:tcPr>
          <w:p>
            <w:pPr>
              <w:pStyle w:val="11"/>
              <w:jc w:val="center"/>
              <w:rPr>
                <w:rFonts w:ascii="宋体" w:hAnsi="宋体" w:eastAsia="宋体" w:cs="宋体"/>
                <w:spacing w:val="-1"/>
                <w:sz w:val="21"/>
                <w:szCs w:val="21"/>
                <w:highlight w:val="none"/>
                <w:lang w:eastAsia="zh-CN"/>
              </w:rPr>
            </w:pPr>
            <w:r>
              <w:rPr>
                <w:rFonts w:ascii="宋体" w:hAnsi="宋体" w:eastAsia="宋体" w:cs="宋体"/>
                <w:spacing w:val="-1"/>
                <w:sz w:val="21"/>
                <w:szCs w:val="21"/>
                <w:highlight w:val="none"/>
              </w:rPr>
              <w:t>评标</w:t>
            </w:r>
          </w:p>
          <w:p>
            <w:pPr>
              <w:pStyle w:val="11"/>
              <w:jc w:val="center"/>
              <w:rPr>
                <w:rFonts w:ascii="宋体" w:hAnsi="宋体" w:eastAsia="宋体" w:cs="宋体"/>
                <w:sz w:val="21"/>
                <w:szCs w:val="21"/>
                <w:highlight w:val="none"/>
                <w:lang w:eastAsia="zh-CN"/>
              </w:rPr>
            </w:pPr>
            <w:r>
              <w:rPr>
                <w:rFonts w:ascii="宋体" w:hAnsi="宋体" w:eastAsia="宋体" w:cs="宋体"/>
                <w:spacing w:val="-1"/>
                <w:sz w:val="21"/>
                <w:szCs w:val="21"/>
                <w:highlight w:val="none"/>
              </w:rPr>
              <w:t>方法</w:t>
            </w:r>
          </w:p>
        </w:tc>
        <w:tc>
          <w:tcPr>
            <w:tcW w:w="2236" w:type="dxa"/>
            <w:vAlign w:val="center"/>
          </w:tcPr>
          <w:p>
            <w:pPr>
              <w:pStyle w:val="11"/>
              <w:jc w:val="center"/>
              <w:rPr>
                <w:rFonts w:ascii="宋体" w:hAnsi="宋体" w:eastAsia="宋体" w:cs="宋体"/>
                <w:sz w:val="21"/>
                <w:szCs w:val="21"/>
                <w:highlight w:val="none"/>
              </w:rPr>
            </w:pPr>
            <w:r>
              <w:rPr>
                <w:rFonts w:ascii="宋体" w:hAnsi="宋体" w:eastAsia="宋体" w:cs="宋体"/>
                <w:spacing w:val="-1"/>
                <w:sz w:val="21"/>
                <w:szCs w:val="21"/>
                <w:highlight w:val="none"/>
              </w:rPr>
              <w:t>中标候选人排序方法</w:t>
            </w:r>
          </w:p>
        </w:tc>
        <w:tc>
          <w:tcPr>
            <w:tcW w:w="5806" w:type="dxa"/>
            <w:vAlign w:val="center"/>
          </w:tcPr>
          <w:p>
            <w:pPr>
              <w:pStyle w:val="11"/>
              <w:spacing w:line="276" w:lineRule="auto"/>
              <w:ind w:left="102"/>
              <w:rPr>
                <w:rFonts w:ascii="宋体" w:hAnsi="宋体" w:eastAsia="宋体"/>
                <w:sz w:val="21"/>
                <w:szCs w:val="21"/>
                <w:highlight w:val="none"/>
                <w:lang w:eastAsia="zh-CN"/>
              </w:rPr>
            </w:pPr>
            <w:r>
              <w:rPr>
                <w:rFonts w:ascii="宋体" w:hAnsi="宋体" w:eastAsia="宋体" w:cs="宋体"/>
                <w:spacing w:val="-2"/>
                <w:sz w:val="21"/>
                <w:szCs w:val="21"/>
                <w:highlight w:val="none"/>
                <w:lang w:eastAsia="zh-CN"/>
              </w:rPr>
              <w:t>本次评标采用综合评估法。评标委员会对满足招标文件实质性要求的投标文件，按照本章第2.2款规定的评分标准进行打分，并按得分由高到低顺序推荐</w:t>
            </w:r>
            <w:r>
              <w:rPr>
                <w:rFonts w:hint="eastAsia" w:ascii="宋体" w:hAnsi="宋体" w:eastAsia="宋体" w:cs="宋体"/>
                <w:spacing w:val="-2"/>
                <w:sz w:val="21"/>
                <w:szCs w:val="21"/>
                <w:highlight w:val="none"/>
                <w:lang w:eastAsia="zh-CN"/>
              </w:rPr>
              <w:t>1</w:t>
            </w:r>
            <w:r>
              <w:rPr>
                <w:rFonts w:ascii="宋体" w:hAnsi="宋体" w:eastAsia="宋体" w:cs="宋体"/>
                <w:spacing w:val="-2"/>
                <w:sz w:val="21"/>
                <w:szCs w:val="21"/>
                <w:highlight w:val="none"/>
                <w:lang w:eastAsia="zh-CN"/>
              </w:rPr>
              <w:t>-3</w:t>
            </w:r>
            <w:r>
              <w:rPr>
                <w:rFonts w:hint="eastAsia" w:ascii="宋体" w:hAnsi="宋体" w:eastAsia="宋体" w:cs="宋体"/>
                <w:spacing w:val="-2"/>
                <w:sz w:val="21"/>
                <w:szCs w:val="21"/>
                <w:highlight w:val="none"/>
                <w:lang w:eastAsia="zh-CN"/>
              </w:rPr>
              <w:t>名</w:t>
            </w:r>
            <w:r>
              <w:rPr>
                <w:rFonts w:ascii="宋体" w:hAnsi="宋体" w:eastAsia="宋体" w:cs="宋体"/>
                <w:spacing w:val="-2"/>
                <w:sz w:val="21"/>
                <w:szCs w:val="21"/>
                <w:highlight w:val="none"/>
                <w:lang w:eastAsia="zh-CN"/>
              </w:rPr>
              <w:t>中标候选人。综合评分相等时，以</w:t>
            </w:r>
            <w:r>
              <w:rPr>
                <w:rFonts w:hint="eastAsia" w:ascii="宋体" w:hAnsi="宋体" w:eastAsia="宋体" w:cs="宋体"/>
                <w:spacing w:val="-2"/>
                <w:sz w:val="21"/>
                <w:szCs w:val="21"/>
                <w:highlight w:val="none"/>
                <w:lang w:eastAsia="zh-CN"/>
              </w:rPr>
              <w:t>评标</w:t>
            </w:r>
            <w:r>
              <w:rPr>
                <w:rFonts w:ascii="宋体" w:hAnsi="宋体" w:eastAsia="宋体" w:cs="宋体"/>
                <w:spacing w:val="-2"/>
                <w:sz w:val="21"/>
                <w:szCs w:val="21"/>
                <w:highlight w:val="none"/>
                <w:lang w:eastAsia="zh-CN"/>
              </w:rPr>
              <w:t>价低的优先；</w:t>
            </w:r>
            <w:r>
              <w:rPr>
                <w:rFonts w:hint="eastAsia" w:ascii="宋体" w:hAnsi="宋体" w:eastAsia="宋体" w:cs="宋体"/>
                <w:spacing w:val="-2"/>
                <w:sz w:val="21"/>
                <w:szCs w:val="21"/>
                <w:highlight w:val="none"/>
                <w:lang w:eastAsia="zh-CN"/>
              </w:rPr>
              <w:t>评标</w:t>
            </w:r>
            <w:r>
              <w:rPr>
                <w:rFonts w:ascii="宋体" w:hAnsi="宋体" w:eastAsia="宋体" w:cs="宋体"/>
                <w:spacing w:val="-2"/>
                <w:sz w:val="21"/>
                <w:szCs w:val="21"/>
                <w:highlight w:val="none"/>
                <w:lang w:eastAsia="zh-CN"/>
              </w:rPr>
              <w:t>价也相等的，以</w:t>
            </w:r>
            <w:r>
              <w:rPr>
                <w:rFonts w:hint="eastAsia" w:ascii="宋体" w:hAnsi="宋体" w:eastAsia="宋体" w:cs="宋体"/>
                <w:spacing w:val="-2"/>
                <w:sz w:val="21"/>
                <w:szCs w:val="21"/>
                <w:highlight w:val="none"/>
                <w:lang w:eastAsia="zh-CN"/>
              </w:rPr>
              <w:t>产品质量及技术参数</w:t>
            </w:r>
            <w:r>
              <w:rPr>
                <w:rFonts w:ascii="宋体" w:hAnsi="宋体" w:eastAsia="宋体" w:cs="宋体"/>
                <w:spacing w:val="-2"/>
                <w:sz w:val="21"/>
                <w:szCs w:val="21"/>
                <w:highlight w:val="none"/>
                <w:lang w:eastAsia="zh-CN"/>
              </w:rPr>
              <w:t>高的优</w:t>
            </w:r>
            <w:r>
              <w:rPr>
                <w:rFonts w:hint="eastAsia" w:ascii="宋体" w:hAnsi="宋体" w:eastAsia="宋体" w:cs="宋体"/>
                <w:spacing w:val="-2"/>
                <w:sz w:val="21"/>
                <w:szCs w:val="21"/>
                <w:highlight w:val="none"/>
                <w:lang w:eastAsia="zh-CN"/>
              </w:rPr>
              <w:t>先。</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pStyle w:val="11"/>
              <w:jc w:val="center"/>
              <w:rPr>
                <w:rFonts w:ascii="宋体" w:hAnsi="宋体" w:eastAsia="宋体" w:cs="Times New Roman"/>
                <w:sz w:val="21"/>
                <w:szCs w:val="21"/>
                <w:highlight w:val="none"/>
              </w:rPr>
            </w:pPr>
            <w:r>
              <w:rPr>
                <w:rFonts w:ascii="宋体" w:hAnsi="宋体" w:eastAsia="宋体"/>
                <w:sz w:val="21"/>
                <w:szCs w:val="21"/>
                <w:highlight w:val="none"/>
              </w:rPr>
              <w:t>2.1.1</w:t>
            </w:r>
          </w:p>
        </w:tc>
        <w:tc>
          <w:tcPr>
            <w:tcW w:w="1134" w:type="dxa"/>
            <w:vMerge w:val="restart"/>
            <w:vAlign w:val="center"/>
          </w:tcPr>
          <w:p>
            <w:pPr>
              <w:pStyle w:val="11"/>
              <w:jc w:val="center"/>
              <w:rPr>
                <w:rFonts w:ascii="宋体" w:hAnsi="宋体" w:eastAsia="宋体" w:cs="宋体"/>
                <w:sz w:val="21"/>
                <w:szCs w:val="21"/>
                <w:highlight w:val="none"/>
              </w:rPr>
            </w:pPr>
            <w:r>
              <w:rPr>
                <w:rFonts w:ascii="宋体" w:hAnsi="宋体" w:eastAsia="宋体" w:cs="宋体"/>
                <w:spacing w:val="-1"/>
                <w:sz w:val="21"/>
                <w:szCs w:val="21"/>
                <w:highlight w:val="none"/>
              </w:rPr>
              <w:t>形式评审</w:t>
            </w:r>
            <w:r>
              <w:rPr>
                <w:rFonts w:ascii="宋体" w:hAnsi="宋体" w:eastAsia="宋体" w:cs="宋体"/>
                <w:sz w:val="21"/>
                <w:szCs w:val="21"/>
                <w:highlight w:val="none"/>
              </w:rPr>
              <w:t>标准</w:t>
            </w:r>
          </w:p>
        </w:tc>
        <w:tc>
          <w:tcPr>
            <w:tcW w:w="2236" w:type="dxa"/>
            <w:vAlign w:val="center"/>
          </w:tcPr>
          <w:p>
            <w:pPr>
              <w:pStyle w:val="11"/>
              <w:jc w:val="center"/>
              <w:rPr>
                <w:rFonts w:ascii="宋体" w:hAnsi="宋体" w:eastAsia="宋体" w:cs="宋体"/>
                <w:sz w:val="21"/>
                <w:szCs w:val="21"/>
                <w:highlight w:val="none"/>
              </w:rPr>
            </w:pPr>
            <w:r>
              <w:rPr>
                <w:rFonts w:ascii="宋体" w:hAnsi="宋体" w:eastAsia="宋体" w:cs="宋体"/>
                <w:spacing w:val="-1"/>
                <w:sz w:val="21"/>
                <w:szCs w:val="21"/>
                <w:highlight w:val="none"/>
              </w:rPr>
              <w:t>投标人名称</w:t>
            </w:r>
          </w:p>
        </w:tc>
        <w:tc>
          <w:tcPr>
            <w:tcW w:w="5806" w:type="dxa"/>
            <w:vAlign w:val="center"/>
          </w:tcPr>
          <w:p>
            <w:pPr>
              <w:pStyle w:val="11"/>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与营业执照</w:t>
            </w:r>
            <w:r>
              <w:rPr>
                <w:rFonts w:hint="eastAsia" w:ascii="宋体" w:hAnsi="宋体" w:eastAsia="宋体" w:cs="宋体"/>
                <w:spacing w:val="-2"/>
                <w:sz w:val="21"/>
                <w:szCs w:val="21"/>
                <w:highlight w:val="none"/>
                <w:lang w:eastAsia="zh-CN"/>
              </w:rPr>
              <w:t>等相关证件资料</w:t>
            </w:r>
            <w:r>
              <w:rPr>
                <w:rFonts w:ascii="宋体" w:hAnsi="宋体" w:eastAsia="宋体" w:cs="宋体"/>
                <w:spacing w:val="-2"/>
                <w:sz w:val="21"/>
                <w:szCs w:val="21"/>
                <w:highlight w:val="none"/>
                <w:lang w:eastAsia="zh-CN"/>
              </w:rPr>
              <w:t>一致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投标</w:t>
            </w:r>
            <w:r>
              <w:rPr>
                <w:rFonts w:hint="eastAsia" w:ascii="宋体" w:hAnsi="宋体" w:eastAsia="宋体" w:cs="宋体"/>
                <w:spacing w:val="-1"/>
                <w:sz w:val="21"/>
                <w:szCs w:val="21"/>
                <w:highlight w:val="none"/>
                <w:lang w:eastAsia="zh-CN"/>
              </w:rPr>
              <w:t>文件</w:t>
            </w:r>
            <w:r>
              <w:rPr>
                <w:rFonts w:ascii="宋体" w:hAnsi="宋体" w:eastAsia="宋体" w:cs="宋体"/>
                <w:spacing w:val="-1"/>
                <w:sz w:val="21"/>
                <w:szCs w:val="21"/>
                <w:highlight w:val="none"/>
              </w:rPr>
              <w:t>签字盖章</w:t>
            </w:r>
          </w:p>
        </w:tc>
        <w:tc>
          <w:tcPr>
            <w:tcW w:w="5806" w:type="dxa"/>
            <w:vAlign w:val="center"/>
          </w:tcPr>
          <w:p>
            <w:pPr>
              <w:rPr>
                <w:rFonts w:ascii="宋体" w:hAnsi="宋体" w:eastAsia="宋体" w:cs="宋体"/>
                <w:spacing w:val="-2"/>
                <w:sz w:val="21"/>
                <w:szCs w:val="21"/>
                <w:highlight w:val="none"/>
                <w:lang w:eastAsia="zh-CN"/>
              </w:rPr>
            </w:pPr>
            <w:r>
              <w:rPr>
                <w:rFonts w:hint="eastAsia" w:ascii="宋体" w:hAnsi="宋体" w:eastAsia="宋体" w:cs="宋体"/>
                <w:spacing w:val="-1"/>
                <w:sz w:val="21"/>
                <w:szCs w:val="21"/>
                <w:highlight w:val="none"/>
                <w:lang w:eastAsia="zh-CN"/>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cs="宋体"/>
                <w:sz w:val="21"/>
                <w:szCs w:val="21"/>
                <w:highlight w:val="none"/>
                <w:lang w:eastAsia="zh-CN"/>
              </w:rPr>
            </w:pPr>
          </w:p>
        </w:tc>
        <w:tc>
          <w:tcPr>
            <w:tcW w:w="2236" w:type="dxa"/>
            <w:tcBorders>
              <w:bottom w:val="single" w:color="auto" w:sz="4" w:space="0"/>
            </w:tcBorders>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投标文件格式</w:t>
            </w:r>
          </w:p>
        </w:tc>
        <w:tc>
          <w:tcPr>
            <w:tcW w:w="5806" w:type="dxa"/>
            <w:tcBorders>
              <w:bottom w:val="single" w:color="auto" w:sz="4" w:space="0"/>
            </w:tcBorders>
            <w:vAlign w:val="center"/>
          </w:tcPr>
          <w:p>
            <w:pPr>
              <w:rPr>
                <w:rFonts w:ascii="宋体" w:hAnsi="宋体" w:eastAsia="宋体" w:cs="宋体"/>
                <w:spacing w:val="-2"/>
                <w:sz w:val="21"/>
                <w:szCs w:val="21"/>
                <w:highlight w:val="none"/>
                <w:lang w:eastAsia="zh-CN"/>
              </w:rPr>
            </w:pPr>
            <w:bookmarkStart w:id="9" w:name="_Hlk44944062"/>
            <w:r>
              <w:rPr>
                <w:rFonts w:ascii="宋体" w:hAnsi="宋体" w:eastAsia="宋体" w:cs="宋体"/>
                <w:spacing w:val="-2"/>
                <w:sz w:val="21"/>
                <w:szCs w:val="21"/>
                <w:highlight w:val="none"/>
                <w:lang w:eastAsia="zh-CN"/>
              </w:rPr>
              <w:t>符合第六章</w:t>
            </w:r>
            <w:bookmarkEnd w:id="9"/>
            <w:r>
              <w:rPr>
                <w:rFonts w:ascii="宋体" w:hAnsi="宋体" w:eastAsia="宋体" w:cs="宋体"/>
                <w:spacing w:val="-2"/>
                <w:sz w:val="21"/>
                <w:szCs w:val="21"/>
                <w:highlight w:val="none"/>
                <w:lang w:eastAsia="zh-CN"/>
              </w:rPr>
              <w:t>“投标文件格式”的</w:t>
            </w:r>
            <w:bookmarkStart w:id="10" w:name="_Hlk44944066"/>
            <w:r>
              <w:rPr>
                <w:rFonts w:ascii="宋体" w:hAnsi="宋体" w:eastAsia="宋体" w:cs="宋体"/>
                <w:spacing w:val="-2"/>
                <w:sz w:val="21"/>
                <w:szCs w:val="21"/>
                <w:highlight w:val="none"/>
                <w:lang w:eastAsia="zh-CN"/>
              </w:rPr>
              <w:t>规定</w:t>
            </w:r>
            <w:bookmarkEnd w:id="10"/>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tcBorders>
              <w:bottom w:val="single" w:color="000000" w:sz="6" w:space="0"/>
            </w:tcBorders>
            <w:vAlign w:val="center"/>
          </w:tcPr>
          <w:p>
            <w:pPr>
              <w:rPr>
                <w:rFonts w:ascii="宋体" w:hAnsi="宋体" w:eastAsia="宋体"/>
                <w:sz w:val="21"/>
                <w:szCs w:val="21"/>
                <w:highlight w:val="none"/>
                <w:lang w:eastAsia="zh-CN"/>
              </w:rPr>
            </w:pPr>
          </w:p>
        </w:tc>
        <w:tc>
          <w:tcPr>
            <w:tcW w:w="1134" w:type="dxa"/>
            <w:vMerge w:val="continue"/>
            <w:tcBorders>
              <w:bottom w:val="single" w:color="000000" w:sz="6" w:space="0"/>
            </w:tcBorders>
            <w:vAlign w:val="center"/>
          </w:tcPr>
          <w:p>
            <w:pPr>
              <w:rPr>
                <w:rFonts w:ascii="宋体" w:hAnsi="宋体" w:eastAsia="宋体" w:cs="宋体"/>
                <w:sz w:val="21"/>
                <w:szCs w:val="21"/>
                <w:highlight w:val="none"/>
                <w:lang w:eastAsia="zh-CN"/>
              </w:rPr>
            </w:pPr>
          </w:p>
        </w:tc>
        <w:tc>
          <w:tcPr>
            <w:tcW w:w="2236" w:type="dxa"/>
            <w:tcBorders>
              <w:top w:val="single" w:color="auto" w:sz="4" w:space="0"/>
              <w:bottom w:val="single" w:color="auto" w:sz="4" w:space="0"/>
            </w:tcBorders>
            <w:vAlign w:val="center"/>
          </w:tcPr>
          <w:p>
            <w:pPr>
              <w:pStyle w:val="11"/>
              <w:spacing w:before="106"/>
              <w:ind w:left="601"/>
              <w:rPr>
                <w:rFonts w:ascii="宋体" w:hAnsi="宋体" w:eastAsia="宋体" w:cs="宋体"/>
                <w:sz w:val="21"/>
                <w:szCs w:val="21"/>
                <w:highlight w:val="none"/>
              </w:rPr>
            </w:pPr>
            <w:r>
              <w:rPr>
                <w:rFonts w:hint="eastAsia" w:ascii="宋体" w:hAnsi="宋体" w:eastAsia="宋体" w:cs="宋体"/>
                <w:sz w:val="21"/>
                <w:szCs w:val="21"/>
                <w:highlight w:val="none"/>
                <w:lang w:eastAsia="zh-CN"/>
              </w:rPr>
              <w:t>联合体投标人</w:t>
            </w:r>
          </w:p>
        </w:tc>
        <w:tc>
          <w:tcPr>
            <w:tcW w:w="5806" w:type="dxa"/>
            <w:tcBorders>
              <w:top w:val="single" w:color="auto" w:sz="4" w:space="0"/>
              <w:bottom w:val="single" w:color="auto" w:sz="4" w:space="0"/>
            </w:tcBorders>
            <w:vAlign w:val="center"/>
          </w:tcPr>
          <w:p>
            <w:pPr>
              <w:pStyle w:val="11"/>
              <w:spacing w:line="400" w:lineRule="exact"/>
              <w:jc w:val="both"/>
              <w:rPr>
                <w:rFonts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投标人未以联合体形式投标</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tcBorders>
              <w:bottom w:val="single" w:color="000000" w:sz="6" w:space="0"/>
            </w:tcBorders>
            <w:vAlign w:val="center"/>
          </w:tcPr>
          <w:p>
            <w:pPr>
              <w:rPr>
                <w:rFonts w:ascii="宋体" w:hAnsi="宋体" w:eastAsia="宋体"/>
                <w:sz w:val="21"/>
                <w:szCs w:val="21"/>
                <w:highlight w:val="none"/>
                <w:lang w:eastAsia="zh-CN"/>
              </w:rPr>
            </w:pPr>
          </w:p>
        </w:tc>
        <w:tc>
          <w:tcPr>
            <w:tcW w:w="1134" w:type="dxa"/>
            <w:vMerge w:val="continue"/>
            <w:tcBorders>
              <w:bottom w:val="single" w:color="000000" w:sz="6" w:space="0"/>
            </w:tcBorders>
            <w:vAlign w:val="center"/>
          </w:tcPr>
          <w:p>
            <w:pPr>
              <w:rPr>
                <w:rFonts w:ascii="宋体" w:hAnsi="宋体" w:eastAsia="宋体" w:cs="宋体"/>
                <w:sz w:val="21"/>
                <w:szCs w:val="21"/>
                <w:highlight w:val="none"/>
                <w:lang w:eastAsia="zh-CN"/>
              </w:rPr>
            </w:pPr>
          </w:p>
        </w:tc>
        <w:tc>
          <w:tcPr>
            <w:tcW w:w="2236" w:type="dxa"/>
            <w:tcBorders>
              <w:top w:val="single" w:color="auto" w:sz="4" w:space="0"/>
            </w:tcBorders>
            <w:vAlign w:val="center"/>
          </w:tcPr>
          <w:p>
            <w:pPr>
              <w:pStyle w:val="11"/>
              <w:spacing w:before="106"/>
              <w:ind w:left="601"/>
              <w:rPr>
                <w:rFonts w:ascii="宋体" w:hAnsi="宋体" w:eastAsia="宋体" w:cs="宋体"/>
                <w:sz w:val="21"/>
                <w:szCs w:val="21"/>
                <w:highlight w:val="none"/>
              </w:rPr>
            </w:pPr>
            <w:r>
              <w:rPr>
                <w:rFonts w:ascii="宋体" w:hAnsi="宋体" w:eastAsia="宋体" w:cs="宋体"/>
                <w:sz w:val="21"/>
                <w:szCs w:val="21"/>
                <w:highlight w:val="none"/>
              </w:rPr>
              <w:t>备选投标方案</w:t>
            </w:r>
          </w:p>
        </w:tc>
        <w:tc>
          <w:tcPr>
            <w:tcW w:w="5806" w:type="dxa"/>
            <w:tcBorders>
              <w:top w:val="single" w:color="auto" w:sz="4" w:space="0"/>
            </w:tcBorders>
            <w:vAlign w:val="center"/>
          </w:tcPr>
          <w:p>
            <w:pPr>
              <w:pStyle w:val="11"/>
              <w:spacing w:line="400" w:lineRule="exact"/>
              <w:jc w:val="both"/>
              <w:rPr>
                <w:rFonts w:ascii="宋体" w:hAnsi="宋体" w:eastAsia="宋体" w:cs="宋体"/>
                <w:sz w:val="21"/>
                <w:szCs w:val="21"/>
                <w:highlight w:val="none"/>
                <w:lang w:eastAsia="zh-CN"/>
              </w:rPr>
            </w:pPr>
            <w:r>
              <w:rPr>
                <w:rFonts w:ascii="宋体" w:hAnsi="宋体" w:eastAsia="宋体" w:cs="宋体"/>
                <w:spacing w:val="1"/>
                <w:sz w:val="21"/>
                <w:szCs w:val="21"/>
                <w:highlight w:val="none"/>
                <w:lang w:eastAsia="zh-CN"/>
              </w:rPr>
              <w:t>投标</w:t>
            </w:r>
            <w:r>
              <w:rPr>
                <w:rFonts w:ascii="宋体" w:hAnsi="宋体" w:eastAsia="宋体" w:cs="宋体"/>
                <w:spacing w:val="-2"/>
                <w:sz w:val="21"/>
                <w:szCs w:val="21"/>
                <w:highlight w:val="none"/>
                <w:lang w:eastAsia="zh-CN"/>
              </w:rPr>
              <w:t>人未提交备选投标方案</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pStyle w:val="11"/>
              <w:jc w:val="center"/>
              <w:rPr>
                <w:rFonts w:ascii="宋体" w:hAnsi="宋体" w:eastAsia="宋体" w:cs="Times New Roman"/>
                <w:sz w:val="21"/>
                <w:szCs w:val="21"/>
                <w:highlight w:val="none"/>
              </w:rPr>
            </w:pPr>
            <w:r>
              <w:rPr>
                <w:rFonts w:ascii="宋体" w:hAnsi="宋体" w:eastAsia="宋体"/>
                <w:sz w:val="21"/>
                <w:szCs w:val="21"/>
                <w:highlight w:val="none"/>
              </w:rPr>
              <w:t>2.1.2</w:t>
            </w:r>
          </w:p>
        </w:tc>
        <w:tc>
          <w:tcPr>
            <w:tcW w:w="1134" w:type="dxa"/>
            <w:vMerge w:val="restart"/>
            <w:vAlign w:val="center"/>
          </w:tcPr>
          <w:p>
            <w:pPr>
              <w:pStyle w:val="11"/>
              <w:jc w:val="center"/>
              <w:rPr>
                <w:rFonts w:ascii="宋体" w:hAnsi="宋体" w:eastAsia="宋体" w:cs="宋体"/>
                <w:sz w:val="21"/>
                <w:szCs w:val="21"/>
                <w:highlight w:val="none"/>
              </w:rPr>
            </w:pPr>
            <w:r>
              <w:rPr>
                <w:rFonts w:ascii="宋体" w:hAnsi="宋体" w:eastAsia="宋体" w:cs="宋体"/>
                <w:spacing w:val="-1"/>
                <w:sz w:val="21"/>
                <w:szCs w:val="21"/>
                <w:highlight w:val="none"/>
              </w:rPr>
              <w:t>资格评审</w:t>
            </w:r>
            <w:r>
              <w:rPr>
                <w:rFonts w:ascii="宋体" w:hAnsi="宋体" w:eastAsia="宋体" w:cs="宋体"/>
                <w:sz w:val="21"/>
                <w:szCs w:val="21"/>
                <w:highlight w:val="none"/>
              </w:rPr>
              <w:t>标准</w:t>
            </w:r>
          </w:p>
        </w:tc>
        <w:tc>
          <w:tcPr>
            <w:tcW w:w="2236" w:type="dxa"/>
            <w:vAlign w:val="center"/>
          </w:tcPr>
          <w:p>
            <w:pPr>
              <w:pStyle w:val="11"/>
              <w:spacing w:line="276" w:lineRule="auto"/>
              <w:ind w:left="181"/>
              <w:jc w:val="cente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营业执照</w:t>
            </w:r>
          </w:p>
        </w:tc>
        <w:tc>
          <w:tcPr>
            <w:tcW w:w="5806" w:type="dxa"/>
            <w:vAlign w:val="center"/>
          </w:tcPr>
          <w:p>
            <w:pPr>
              <w:pStyle w:val="11"/>
              <w:spacing w:line="276" w:lineRule="auto"/>
              <w:rPr>
                <w:rFonts w:ascii="宋体" w:hAnsi="宋体" w:eastAsia="宋体" w:cs="宋体"/>
                <w:sz w:val="21"/>
                <w:szCs w:val="21"/>
                <w:highlight w:val="none"/>
                <w:lang w:eastAsia="zh-CN"/>
              </w:rPr>
            </w:pPr>
            <w:r>
              <w:rPr>
                <w:rFonts w:ascii="宋体" w:hAnsi="宋体" w:eastAsia="宋体" w:cs="宋体"/>
                <w:spacing w:val="1"/>
                <w:sz w:val="21"/>
                <w:szCs w:val="21"/>
                <w:highlight w:val="none"/>
                <w:lang w:eastAsia="zh-CN"/>
              </w:rPr>
              <w:t>符合第二章“投标人须知”第 3.5.1项规定，具备有效的营业执照</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资质要求</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1.4.1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业绩要求</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1.4.1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信誉要求</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1.4.1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其它要求</w:t>
            </w:r>
          </w:p>
        </w:tc>
        <w:tc>
          <w:tcPr>
            <w:tcW w:w="5806" w:type="dxa"/>
            <w:vAlign w:val="center"/>
          </w:tcPr>
          <w:p>
            <w:pPr>
              <w:rPr>
                <w:rFonts w:ascii="宋体" w:hAnsi="宋体" w:eastAsia="宋体" w:cs="宋体"/>
                <w:spacing w:val="-1"/>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1.4.1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联合体投标人</w:t>
            </w:r>
          </w:p>
        </w:tc>
        <w:tc>
          <w:tcPr>
            <w:tcW w:w="5806" w:type="dxa"/>
            <w:vAlign w:val="center"/>
          </w:tcPr>
          <w:p>
            <w:pPr>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符合第二章“投标人须知”第 1.4.2项规定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pacing w:val="-1"/>
                <w:sz w:val="21"/>
                <w:szCs w:val="21"/>
                <w:highlight w:val="none"/>
                <w:lang w:eastAsia="zh-CN"/>
              </w:rPr>
            </w:pPr>
            <w:r>
              <w:rPr>
                <w:rFonts w:ascii="宋体" w:hAnsi="宋体" w:eastAsia="宋体" w:cs="宋体"/>
                <w:spacing w:val="-1"/>
                <w:sz w:val="21"/>
                <w:szCs w:val="21"/>
                <w:highlight w:val="none"/>
                <w:lang w:eastAsia="zh-CN"/>
              </w:rPr>
              <w:t>不存在禁止投标的情形</w:t>
            </w:r>
          </w:p>
        </w:tc>
        <w:tc>
          <w:tcPr>
            <w:tcW w:w="5806" w:type="dxa"/>
            <w:vAlign w:val="center"/>
          </w:tcPr>
          <w:p>
            <w:pPr>
              <w:rPr>
                <w:rFonts w:ascii="宋体" w:hAnsi="宋体" w:eastAsia="宋体" w:cs="宋体"/>
                <w:spacing w:val="-1"/>
                <w:sz w:val="21"/>
                <w:szCs w:val="21"/>
                <w:highlight w:val="none"/>
                <w:lang w:eastAsia="zh-CN"/>
              </w:rPr>
            </w:pPr>
            <w:r>
              <w:rPr>
                <w:rFonts w:ascii="宋体" w:hAnsi="宋体" w:eastAsia="宋体" w:cs="宋体"/>
                <w:spacing w:val="-1"/>
                <w:sz w:val="21"/>
                <w:szCs w:val="21"/>
                <w:highlight w:val="none"/>
                <w:lang w:eastAsia="zh-CN"/>
              </w:rPr>
              <w:t>不存在第二章“投标人须知”第 1.4.3项规定的任何一种情形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jc w:val="center"/>
              <w:rPr>
                <w:rFonts w:ascii="宋体" w:hAnsi="宋体" w:eastAsia="宋体" w:cs="Times New Roman"/>
                <w:sz w:val="21"/>
                <w:szCs w:val="21"/>
                <w:highlight w:val="none"/>
                <w:lang w:eastAsia="zh-CN"/>
              </w:rPr>
            </w:pPr>
            <w:bookmarkStart w:id="11" w:name="_Hlk44944839"/>
            <w:r>
              <w:rPr>
                <w:rFonts w:hint="eastAsia" w:ascii="宋体" w:hAnsi="宋体" w:eastAsia="宋体"/>
                <w:sz w:val="21"/>
                <w:szCs w:val="21"/>
                <w:highlight w:val="none"/>
                <w:lang w:eastAsia="zh-CN"/>
              </w:rPr>
              <w:t>2.1.3</w:t>
            </w:r>
            <w:bookmarkEnd w:id="11"/>
          </w:p>
        </w:tc>
        <w:tc>
          <w:tcPr>
            <w:tcW w:w="1134" w:type="dxa"/>
            <w:vMerge w:val="restart"/>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响应性评审标准</w:t>
            </w: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投标报价</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z w:val="21"/>
                <w:szCs w:val="21"/>
                <w:highlight w:val="none"/>
                <w:lang w:eastAsia="zh-CN"/>
              </w:rPr>
              <w:t>3.2</w:t>
            </w:r>
            <w:r>
              <w:rPr>
                <w:rFonts w:ascii="宋体" w:hAnsi="宋体" w:eastAsia="宋体" w:cs="宋体"/>
                <w:spacing w:val="-1"/>
                <w:sz w:val="21"/>
                <w:szCs w:val="21"/>
                <w:highlight w:val="none"/>
                <w:lang w:eastAsia="zh-CN"/>
              </w:rPr>
              <w:t>款规定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lang w:eastAsia="zh-CN"/>
              </w:rPr>
            </w:pPr>
            <w:r>
              <w:rPr>
                <w:rFonts w:ascii="宋体" w:hAnsi="宋体" w:eastAsia="宋体" w:cs="宋体"/>
                <w:spacing w:val="-1"/>
                <w:sz w:val="21"/>
                <w:szCs w:val="21"/>
                <w:highlight w:val="none"/>
              </w:rPr>
              <w:t>投标内容</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1.3.1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lang w:eastAsia="zh-CN"/>
              </w:rPr>
              <w:t>供</w:t>
            </w:r>
            <w:r>
              <w:rPr>
                <w:rFonts w:ascii="宋体" w:hAnsi="宋体" w:eastAsia="宋体" w:cs="宋体"/>
                <w:sz w:val="21"/>
                <w:szCs w:val="21"/>
                <w:highlight w:val="none"/>
              </w:rPr>
              <w:t>货期</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1.3.2</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hint="eastAsia" w:ascii="宋体" w:hAnsi="宋体" w:eastAsia="宋体" w:cs="宋体"/>
                <w:spacing w:val="-1"/>
                <w:sz w:val="21"/>
                <w:szCs w:val="21"/>
                <w:highlight w:val="none"/>
                <w:lang w:eastAsia="zh-CN"/>
              </w:rPr>
              <w:t>供</w:t>
            </w:r>
            <w:r>
              <w:rPr>
                <w:rFonts w:ascii="宋体" w:hAnsi="宋体" w:eastAsia="宋体" w:cs="宋体"/>
                <w:spacing w:val="-1"/>
                <w:sz w:val="21"/>
                <w:szCs w:val="21"/>
                <w:highlight w:val="none"/>
              </w:rPr>
              <w:t>货地点</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1.3.3</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质量标准</w:t>
            </w:r>
          </w:p>
        </w:tc>
        <w:tc>
          <w:tcPr>
            <w:tcW w:w="5806" w:type="dxa"/>
            <w:vAlign w:val="center"/>
          </w:tcPr>
          <w:p>
            <w:pPr>
              <w:rPr>
                <w:rFonts w:ascii="宋体" w:hAnsi="宋体" w:eastAsia="宋体" w:cs="宋体"/>
                <w:spacing w:val="-2"/>
                <w:sz w:val="21"/>
                <w:szCs w:val="21"/>
                <w:highlight w:val="none"/>
                <w:lang w:eastAsia="zh-CN"/>
              </w:rPr>
            </w:pPr>
            <w:r>
              <w:rPr>
                <w:rFonts w:ascii="宋体" w:hAnsi="宋体" w:eastAsia="宋体" w:cs="Times New Roman"/>
                <w:spacing w:val="-1"/>
                <w:sz w:val="21"/>
                <w:szCs w:val="21"/>
                <w:highlight w:val="none"/>
                <w:lang w:eastAsia="zh-CN"/>
              </w:rPr>
              <w:t>符合第二章“投标人须知”第1.3.4项规定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hint="eastAsia" w:ascii="宋体" w:hAnsi="宋体" w:eastAsia="宋体" w:cs="Microsoft JhengHei"/>
                <w:bCs/>
                <w:sz w:val="21"/>
                <w:szCs w:val="21"/>
                <w:highlight w:val="none"/>
                <w:lang w:eastAsia="zh-CN"/>
              </w:rPr>
              <w:t>技术性能指标</w:t>
            </w:r>
          </w:p>
        </w:tc>
        <w:tc>
          <w:tcPr>
            <w:tcW w:w="5806" w:type="dxa"/>
            <w:vAlign w:val="center"/>
          </w:tcPr>
          <w:p>
            <w:pPr>
              <w:rPr>
                <w:rFonts w:ascii="宋体" w:hAnsi="宋体" w:eastAsia="宋体" w:cs="宋体"/>
                <w:sz w:val="21"/>
                <w:szCs w:val="21"/>
                <w:highlight w:val="none"/>
                <w:lang w:eastAsia="zh-CN"/>
              </w:rPr>
            </w:pPr>
            <w:r>
              <w:rPr>
                <w:rFonts w:hint="eastAsia" w:ascii="宋体" w:hAnsi="宋体" w:eastAsia="宋体"/>
                <w:sz w:val="21"/>
                <w:szCs w:val="21"/>
                <w:highlight w:val="none"/>
                <w:lang w:eastAsia="zh-CN"/>
              </w:rPr>
              <w:t>详见第五章项目采购需求</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投标有效期</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3.3.1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投标保证金</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投标人须知</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cs="Times New Roman"/>
                <w:spacing w:val="-1"/>
                <w:sz w:val="21"/>
                <w:szCs w:val="21"/>
                <w:highlight w:val="none"/>
                <w:lang w:eastAsia="zh-CN"/>
              </w:rPr>
              <w:t>3.4.1</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jc w:val="center"/>
              <w:rPr>
                <w:rFonts w:ascii="宋体" w:hAnsi="宋体" w:eastAsia="宋体" w:cs="宋体"/>
                <w:sz w:val="21"/>
                <w:szCs w:val="21"/>
                <w:highlight w:val="none"/>
              </w:rPr>
            </w:pPr>
            <w:r>
              <w:rPr>
                <w:rFonts w:ascii="宋体" w:hAnsi="宋体" w:eastAsia="宋体" w:cs="宋体"/>
                <w:spacing w:val="-1"/>
                <w:sz w:val="21"/>
                <w:szCs w:val="21"/>
                <w:highlight w:val="none"/>
              </w:rPr>
              <w:t>权利义务</w:t>
            </w:r>
          </w:p>
        </w:tc>
        <w:tc>
          <w:tcPr>
            <w:tcW w:w="5806" w:type="dxa"/>
            <w:vAlign w:val="center"/>
          </w:tcPr>
          <w:p>
            <w:pP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符合第二章“投标人须知”第1.11.1项规定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pStyle w:val="11"/>
              <w:spacing w:before="106"/>
              <w:ind w:left="-2" w:leftChars="-1" w:firstLine="45" w:firstLineChars="22"/>
              <w:jc w:val="center"/>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投标</w:t>
            </w:r>
            <w:r>
              <w:rPr>
                <w:rFonts w:hint="eastAsia" w:ascii="宋体" w:hAnsi="宋体" w:eastAsia="宋体" w:cs="宋体"/>
                <w:spacing w:val="-2"/>
                <w:sz w:val="21"/>
                <w:szCs w:val="21"/>
                <w:highlight w:val="none"/>
                <w:lang w:eastAsia="zh-CN"/>
              </w:rPr>
              <w:t>货物</w:t>
            </w:r>
            <w:r>
              <w:rPr>
                <w:rFonts w:ascii="宋体" w:hAnsi="宋体" w:eastAsia="宋体" w:cs="宋体"/>
                <w:spacing w:val="-2"/>
                <w:sz w:val="21"/>
                <w:szCs w:val="21"/>
                <w:highlight w:val="none"/>
                <w:lang w:eastAsia="zh-CN"/>
              </w:rPr>
              <w:t>及技术</w:t>
            </w:r>
            <w:r>
              <w:rPr>
                <w:rFonts w:hint="eastAsia" w:ascii="宋体" w:hAnsi="宋体" w:eastAsia="宋体" w:cs="宋体"/>
                <w:spacing w:val="-2"/>
                <w:sz w:val="21"/>
                <w:szCs w:val="21"/>
                <w:highlight w:val="none"/>
                <w:lang w:eastAsia="zh-CN"/>
              </w:rPr>
              <w:t>参数</w:t>
            </w:r>
          </w:p>
        </w:tc>
        <w:tc>
          <w:tcPr>
            <w:tcW w:w="5806" w:type="dxa"/>
            <w:vAlign w:val="center"/>
          </w:tcPr>
          <w:p>
            <w:pPr>
              <w:pStyle w:val="11"/>
              <w:spacing w:line="400" w:lineRule="exact"/>
              <w:jc w:val="both"/>
              <w:rPr>
                <w:rFonts w:ascii="宋体" w:hAnsi="宋体" w:eastAsia="宋体" w:cs="宋体"/>
                <w:spacing w:val="-2"/>
                <w:sz w:val="21"/>
                <w:szCs w:val="21"/>
                <w:highlight w:val="none"/>
                <w:lang w:eastAsia="zh-CN"/>
              </w:rPr>
            </w:pPr>
            <w:r>
              <w:rPr>
                <w:rFonts w:ascii="宋体" w:hAnsi="宋体" w:eastAsia="宋体" w:cs="宋体"/>
                <w:spacing w:val="-2"/>
                <w:sz w:val="21"/>
                <w:szCs w:val="21"/>
                <w:highlight w:val="none"/>
                <w:lang w:eastAsia="zh-CN"/>
              </w:rPr>
              <w:t>符合第五章“供货要求”中的实质性要求和条件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pStyle w:val="11"/>
              <w:spacing w:before="106"/>
              <w:ind w:left="601"/>
              <w:rPr>
                <w:rFonts w:ascii="宋体" w:hAnsi="宋体" w:eastAsia="宋体" w:cs="宋体"/>
                <w:sz w:val="21"/>
                <w:szCs w:val="21"/>
                <w:highlight w:val="none"/>
              </w:rPr>
            </w:pPr>
            <w:r>
              <w:rPr>
                <w:rFonts w:ascii="宋体" w:hAnsi="宋体" w:eastAsia="宋体" w:cs="宋体"/>
                <w:spacing w:val="-1"/>
                <w:sz w:val="21"/>
                <w:szCs w:val="21"/>
                <w:highlight w:val="none"/>
              </w:rPr>
              <w:t>技术支持资料</w:t>
            </w:r>
          </w:p>
        </w:tc>
        <w:tc>
          <w:tcPr>
            <w:tcW w:w="5806" w:type="dxa"/>
            <w:vAlign w:val="center"/>
          </w:tcPr>
          <w:p>
            <w:pPr>
              <w:pStyle w:val="11"/>
              <w:spacing w:line="400" w:lineRule="exact"/>
              <w:jc w:val="both"/>
              <w:rPr>
                <w:rFonts w:ascii="宋体" w:hAnsi="宋体" w:eastAsia="宋体" w:cs="宋体"/>
                <w:sz w:val="21"/>
                <w:szCs w:val="21"/>
                <w:highlight w:val="none"/>
                <w:lang w:eastAsia="zh-CN"/>
              </w:rPr>
            </w:pPr>
            <w:r>
              <w:rPr>
                <w:rFonts w:ascii="宋体" w:hAnsi="宋体" w:eastAsia="宋体" w:cs="宋体"/>
                <w:spacing w:val="-2"/>
                <w:sz w:val="21"/>
                <w:szCs w:val="21"/>
                <w:highlight w:val="none"/>
                <w:lang w:eastAsia="zh-CN"/>
              </w:rPr>
              <w:t>符合第二章</w:t>
            </w:r>
            <w:r>
              <w:rPr>
                <w:rFonts w:ascii="宋体" w:hAnsi="宋体" w:eastAsia="宋体"/>
                <w:i/>
                <w:spacing w:val="-3"/>
                <w:sz w:val="21"/>
                <w:szCs w:val="21"/>
                <w:highlight w:val="none"/>
                <w:lang w:eastAsia="zh-CN"/>
              </w:rPr>
              <w:t>“</w:t>
            </w:r>
            <w:r>
              <w:rPr>
                <w:rFonts w:ascii="宋体" w:hAnsi="宋体" w:eastAsia="宋体" w:cs="宋体"/>
                <w:spacing w:val="-2"/>
                <w:sz w:val="21"/>
                <w:szCs w:val="21"/>
                <w:highlight w:val="none"/>
                <w:lang w:eastAsia="zh-CN"/>
              </w:rPr>
              <w:t>投标人须知</w:t>
            </w:r>
            <w:r>
              <w:rPr>
                <w:rFonts w:ascii="宋体" w:hAnsi="宋体" w:eastAsia="宋体"/>
                <w:i/>
                <w:spacing w:val="-3"/>
                <w:sz w:val="21"/>
                <w:szCs w:val="21"/>
                <w:highlight w:val="none"/>
                <w:lang w:eastAsia="zh-CN"/>
              </w:rPr>
              <w:t>”</w:t>
            </w:r>
            <w:r>
              <w:rPr>
                <w:rFonts w:ascii="宋体" w:hAnsi="宋体" w:eastAsia="宋体" w:cs="宋体"/>
                <w:spacing w:val="-2"/>
                <w:sz w:val="21"/>
                <w:szCs w:val="21"/>
                <w:highlight w:val="none"/>
                <w:lang w:eastAsia="zh-CN"/>
              </w:rPr>
              <w:t>第</w:t>
            </w:r>
            <w:r>
              <w:rPr>
                <w:rFonts w:ascii="宋体" w:hAnsi="宋体" w:eastAsia="宋体"/>
                <w:spacing w:val="-2"/>
                <w:sz w:val="21"/>
                <w:szCs w:val="21"/>
                <w:highlight w:val="none"/>
                <w:lang w:eastAsia="zh-CN"/>
              </w:rPr>
              <w:t>1.11.3</w:t>
            </w:r>
            <w:r>
              <w:rPr>
                <w:rFonts w:ascii="宋体" w:hAnsi="宋体" w:eastAsia="宋体" w:cs="宋体"/>
                <w:spacing w:val="-1"/>
                <w:sz w:val="21"/>
                <w:szCs w:val="21"/>
                <w:highlight w:val="none"/>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b/>
                <w:sz w:val="21"/>
                <w:szCs w:val="21"/>
                <w:highlight w:val="none"/>
                <w:lang w:eastAsia="zh-CN"/>
              </w:rPr>
            </w:pPr>
            <w:r>
              <w:rPr>
                <w:rFonts w:hint="eastAsia" w:ascii="宋体" w:hAnsi="宋体" w:eastAsia="宋体"/>
                <w:b/>
                <w:sz w:val="21"/>
                <w:szCs w:val="21"/>
                <w:highlight w:val="none"/>
                <w:lang w:eastAsia="zh-CN"/>
              </w:rPr>
              <w:t>条款号</w:t>
            </w:r>
          </w:p>
        </w:tc>
        <w:tc>
          <w:tcPr>
            <w:tcW w:w="2236" w:type="dxa"/>
            <w:vAlign w:val="center"/>
          </w:tcPr>
          <w:p>
            <w:pPr>
              <w:jc w:val="center"/>
              <w:rPr>
                <w:rFonts w:ascii="宋体" w:hAnsi="宋体" w:eastAsia="宋体" w:cs="宋体"/>
                <w:b/>
                <w:spacing w:val="-1"/>
                <w:sz w:val="21"/>
                <w:szCs w:val="21"/>
                <w:highlight w:val="none"/>
                <w:lang w:eastAsia="zh-CN"/>
              </w:rPr>
            </w:pPr>
            <w:r>
              <w:rPr>
                <w:rFonts w:hint="eastAsia" w:ascii="宋体" w:hAnsi="宋体" w:eastAsia="宋体" w:cs="宋体"/>
                <w:b/>
                <w:spacing w:val="-1"/>
                <w:sz w:val="21"/>
                <w:szCs w:val="21"/>
                <w:highlight w:val="none"/>
                <w:lang w:eastAsia="zh-CN"/>
              </w:rPr>
              <w:t>条款内容</w:t>
            </w:r>
          </w:p>
        </w:tc>
        <w:tc>
          <w:tcPr>
            <w:tcW w:w="5806" w:type="dxa"/>
            <w:vAlign w:val="center"/>
          </w:tcPr>
          <w:p>
            <w:pPr>
              <w:jc w:val="center"/>
              <w:rPr>
                <w:rFonts w:ascii="宋体" w:hAnsi="宋体" w:eastAsia="宋体" w:cs="宋体"/>
                <w:b/>
                <w:spacing w:val="-2"/>
                <w:sz w:val="21"/>
                <w:szCs w:val="21"/>
                <w:highlight w:val="none"/>
                <w:lang w:eastAsia="zh-CN"/>
              </w:rPr>
            </w:pPr>
            <w:r>
              <w:rPr>
                <w:rFonts w:hint="eastAsia" w:ascii="宋体" w:hAnsi="宋体" w:eastAsia="宋体" w:cs="宋体"/>
                <w:b/>
                <w:spacing w:val="-2"/>
                <w:sz w:val="21"/>
                <w:szCs w:val="21"/>
                <w:highlight w:val="none"/>
                <w:lang w:eastAsia="zh-CN"/>
              </w:rPr>
              <w:t>编列内容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2.2.1</w:t>
            </w:r>
          </w:p>
        </w:tc>
        <w:tc>
          <w:tcPr>
            <w:tcW w:w="2236" w:type="dxa"/>
            <w:vAlign w:val="center"/>
          </w:tcPr>
          <w:p>
            <w:pPr>
              <w:jc w:val="center"/>
              <w:rPr>
                <w:rFonts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分值构成</w:t>
            </w:r>
          </w:p>
          <w:p>
            <w:pPr>
              <w:jc w:val="center"/>
              <w:rPr>
                <w:rFonts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（总分100分）</w:t>
            </w:r>
          </w:p>
        </w:tc>
        <w:tc>
          <w:tcPr>
            <w:tcW w:w="5806" w:type="dxa"/>
            <w:vAlign w:val="center"/>
          </w:tcPr>
          <w:p>
            <w:pPr>
              <w:rPr>
                <w:rFonts w:ascii="宋体" w:hAnsi="宋体" w:eastAsia="宋体"/>
                <w:sz w:val="21"/>
                <w:szCs w:val="21"/>
                <w:highlight w:val="none"/>
                <w:lang w:eastAsia="zh-CN"/>
              </w:rPr>
            </w:pPr>
            <w:r>
              <w:rPr>
                <w:rFonts w:hint="eastAsia" w:ascii="宋体" w:hAnsi="宋体" w:eastAsia="宋体"/>
                <w:sz w:val="21"/>
                <w:szCs w:val="21"/>
                <w:highlight w:val="none"/>
                <w:lang w:eastAsia="zh-CN"/>
              </w:rPr>
              <w:t>商务部分：10分</w:t>
            </w:r>
          </w:p>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技术部分：40分</w:t>
            </w:r>
          </w:p>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评标价：</w:t>
            </w:r>
            <w:r>
              <w:rPr>
                <w:rFonts w:ascii="宋体" w:hAnsi="宋体" w:eastAsia="宋体"/>
                <w:sz w:val="21"/>
                <w:szCs w:val="21"/>
                <w:highlight w:val="none"/>
                <w:lang w:eastAsia="zh-CN"/>
              </w:rPr>
              <w:t>5</w:t>
            </w:r>
            <w:r>
              <w:rPr>
                <w:rFonts w:hint="eastAsia" w:ascii="宋体" w:hAnsi="宋体" w:eastAsia="宋体"/>
                <w:sz w:val="21"/>
                <w:szCs w:val="21"/>
                <w:highlight w:val="none"/>
                <w:lang w:eastAsia="zh-CN"/>
              </w:rPr>
              <w:t>0分</w:t>
            </w:r>
          </w:p>
          <w:p>
            <w:pPr>
              <w:rPr>
                <w:rFonts w:ascii="宋体" w:hAnsi="宋体" w:eastAsia="宋体" w:cs="宋体"/>
                <w:spacing w:val="-2"/>
                <w:sz w:val="21"/>
                <w:szCs w:val="21"/>
                <w:highlight w:val="none"/>
                <w:lang w:eastAsia="zh-CN"/>
              </w:rPr>
            </w:pPr>
            <w:r>
              <w:rPr>
                <w:rFonts w:hint="eastAsia" w:ascii="宋体" w:hAnsi="宋体" w:eastAsia="宋体"/>
                <w:sz w:val="21"/>
                <w:szCs w:val="21"/>
                <w:highlight w:val="none"/>
                <w:lang w:eastAsia="zh-CN"/>
              </w:rPr>
              <w:t>其他评分因素：/</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2.2.2</w:t>
            </w:r>
          </w:p>
        </w:tc>
        <w:tc>
          <w:tcPr>
            <w:tcW w:w="2236" w:type="dxa"/>
            <w:vAlign w:val="center"/>
          </w:tcPr>
          <w:p>
            <w:pPr>
              <w:jc w:val="center"/>
              <w:rPr>
                <w:rFonts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评标基准价计算方法</w:t>
            </w:r>
          </w:p>
        </w:tc>
        <w:tc>
          <w:tcPr>
            <w:tcW w:w="5806" w:type="dxa"/>
            <w:vAlign w:val="center"/>
          </w:tcPr>
          <w:p>
            <w:pPr>
              <w:rPr>
                <w:rFonts w:ascii="宋体" w:hAnsi="宋体" w:eastAsia="宋体"/>
                <w:szCs w:val="21"/>
                <w:highlight w:val="none"/>
                <w:lang w:eastAsia="zh-CN"/>
              </w:rPr>
            </w:pPr>
            <w:r>
              <w:rPr>
                <w:rFonts w:hint="eastAsia" w:ascii="宋体" w:hAnsi="宋体" w:eastAsia="宋体"/>
                <w:szCs w:val="21"/>
                <w:highlight w:val="none"/>
                <w:lang w:eastAsia="zh-CN"/>
              </w:rPr>
              <w:t>评标基准价的计算（保留两位小数）：</w:t>
            </w:r>
          </w:p>
          <w:p>
            <w:pPr>
              <w:ind w:firstLine="440" w:firstLineChars="200"/>
              <w:rPr>
                <w:rFonts w:ascii="宋体" w:hAnsi="宋体" w:eastAsia="宋体"/>
                <w:szCs w:val="21"/>
                <w:highlight w:val="none"/>
                <w:lang w:eastAsia="zh-CN"/>
              </w:rPr>
            </w:pPr>
            <w:r>
              <w:rPr>
                <w:rFonts w:hint="eastAsia" w:ascii="宋体" w:hAnsi="宋体" w:eastAsia="宋体"/>
                <w:szCs w:val="21"/>
                <w:highlight w:val="none"/>
                <w:lang w:eastAsia="zh-CN"/>
              </w:rPr>
              <w:t>(1)评标价的确定：</w:t>
            </w:r>
          </w:p>
          <w:p>
            <w:pPr>
              <w:ind w:firstLine="440" w:firstLineChars="200"/>
              <w:rPr>
                <w:rFonts w:ascii="宋体" w:hAnsi="宋体" w:eastAsia="宋体"/>
                <w:szCs w:val="21"/>
                <w:highlight w:val="none"/>
                <w:lang w:eastAsia="zh-CN"/>
              </w:rPr>
            </w:pPr>
            <w:r>
              <w:rPr>
                <w:rFonts w:hint="eastAsia" w:ascii="宋体" w:hAnsi="宋体" w:eastAsia="宋体"/>
                <w:szCs w:val="21"/>
                <w:highlight w:val="none"/>
                <w:lang w:eastAsia="zh-CN"/>
              </w:rPr>
              <w:t>评标价=投标函文字报价</w:t>
            </w:r>
          </w:p>
          <w:p>
            <w:pPr>
              <w:ind w:firstLine="440" w:firstLineChars="200"/>
              <w:rPr>
                <w:rFonts w:ascii="宋体" w:hAnsi="宋体" w:eastAsia="宋体"/>
                <w:szCs w:val="21"/>
                <w:highlight w:val="none"/>
                <w:lang w:eastAsia="zh-CN"/>
              </w:rPr>
            </w:pPr>
            <w:r>
              <w:rPr>
                <w:rFonts w:hint="eastAsia" w:ascii="宋体" w:hAnsi="宋体" w:eastAsia="宋体"/>
                <w:szCs w:val="21"/>
                <w:highlight w:val="none"/>
                <w:lang w:eastAsia="zh-CN"/>
              </w:rPr>
              <w:t>(2)评标价平均值的计算：</w:t>
            </w:r>
          </w:p>
          <w:p>
            <w:pPr>
              <w:ind w:firstLine="440" w:firstLineChars="200"/>
              <w:rPr>
                <w:rFonts w:ascii="宋体" w:hAnsi="宋体"/>
                <w:highlight w:val="none"/>
                <w:lang w:eastAsia="zh-CN"/>
              </w:rPr>
            </w:pPr>
            <w:r>
              <w:rPr>
                <w:rFonts w:hint="eastAsia" w:ascii="宋体" w:hAnsi="宋体"/>
                <w:highlight w:val="none"/>
                <w:lang w:eastAsia="zh-CN"/>
              </w:rPr>
              <w:t>除按第二章</w:t>
            </w:r>
            <w:r>
              <w:rPr>
                <w:rFonts w:hint="eastAsia" w:ascii="宋体" w:hAnsi="宋体"/>
                <w:szCs w:val="21"/>
                <w:highlight w:val="none"/>
                <w:lang w:eastAsia="zh-CN"/>
              </w:rPr>
              <w:t>“投标人须知”</w:t>
            </w:r>
            <w:r>
              <w:rPr>
                <w:rFonts w:hint="eastAsia" w:ascii="宋体" w:hAnsi="宋体"/>
                <w:highlight w:val="none"/>
                <w:lang w:eastAsia="zh-CN"/>
              </w:rPr>
              <w:t>第5.2.</w:t>
            </w:r>
            <w:r>
              <w:rPr>
                <w:rFonts w:ascii="宋体" w:hAnsi="宋体"/>
                <w:highlight w:val="none"/>
                <w:lang w:eastAsia="zh-CN"/>
              </w:rPr>
              <w:t>2</w:t>
            </w:r>
            <w:r>
              <w:rPr>
                <w:rFonts w:hint="eastAsia" w:ascii="宋体" w:hAnsi="宋体"/>
                <w:highlight w:val="none"/>
                <w:lang w:eastAsia="zh-CN"/>
              </w:rPr>
              <w:t>项规定开标现场被宣布不再</w:t>
            </w:r>
            <w:r>
              <w:rPr>
                <w:rFonts w:ascii="宋体" w:hAnsi="宋体"/>
                <w:highlight w:val="none"/>
                <w:lang w:eastAsia="zh-CN"/>
              </w:rPr>
              <w:t>参加评标基准价计算</w:t>
            </w:r>
            <w:r>
              <w:rPr>
                <w:rFonts w:hint="eastAsia" w:ascii="宋体" w:hAnsi="宋体"/>
                <w:highlight w:val="none"/>
                <w:lang w:eastAsia="zh-CN"/>
              </w:rPr>
              <w:t>的投标报价之外，所有投标人的评标价去掉规定个数的最高值和最低值后的算术平均值即为评标价平均值。</w:t>
            </w:r>
          </w:p>
          <w:p>
            <w:pPr>
              <w:spacing w:line="400" w:lineRule="exact"/>
              <w:ind w:firstLine="440" w:firstLineChars="200"/>
              <w:rPr>
                <w:rFonts w:ascii="宋体" w:hAnsi="宋体" w:cs="宋体"/>
                <w:szCs w:val="21"/>
                <w:highlight w:val="none"/>
                <w:lang w:eastAsia="zh-CN"/>
              </w:rPr>
            </w:pPr>
            <w:r>
              <w:rPr>
                <w:rFonts w:hint="eastAsia" w:ascii="宋体" w:hAnsi="宋体" w:cs="宋体"/>
                <w:szCs w:val="21"/>
                <w:highlight w:val="none"/>
                <w:lang w:eastAsia="zh-CN"/>
              </w:rPr>
              <w:t>a、如果参与评标价平均值计算的投标人数量＜6家时，计算评标价平均值时不去最高值和最低值。</w:t>
            </w:r>
          </w:p>
          <w:p>
            <w:pPr>
              <w:spacing w:line="400" w:lineRule="exact"/>
              <w:ind w:firstLine="440" w:firstLineChars="200"/>
              <w:rPr>
                <w:rFonts w:ascii="宋体" w:hAnsi="宋体" w:cs="宋体"/>
                <w:szCs w:val="21"/>
                <w:highlight w:val="none"/>
                <w:lang w:eastAsia="zh-CN"/>
              </w:rPr>
            </w:pPr>
            <w:r>
              <w:rPr>
                <w:rFonts w:hint="eastAsia" w:ascii="宋体" w:hAnsi="宋体" w:cs="宋体"/>
                <w:szCs w:val="21"/>
                <w:highlight w:val="none"/>
                <w:lang w:eastAsia="zh-CN"/>
              </w:rPr>
              <w:t>b、如果6家≤参与评标价平均值计算的投标人数量＜10家时，计算评标价平均值时去掉1个最高值和1个最低值。</w:t>
            </w:r>
          </w:p>
          <w:p>
            <w:pPr>
              <w:spacing w:line="400" w:lineRule="exact"/>
              <w:ind w:firstLine="440" w:firstLineChars="200"/>
              <w:rPr>
                <w:rFonts w:ascii="宋体" w:hAnsi="宋体" w:cs="宋体"/>
                <w:szCs w:val="21"/>
                <w:highlight w:val="none"/>
                <w:lang w:eastAsia="zh-CN"/>
              </w:rPr>
            </w:pPr>
            <w:r>
              <w:rPr>
                <w:rFonts w:hint="eastAsia" w:ascii="宋体" w:hAnsi="宋体" w:cs="宋体"/>
                <w:szCs w:val="21"/>
                <w:highlight w:val="none"/>
                <w:lang w:eastAsia="zh-CN"/>
              </w:rPr>
              <w:t>c、如果10家≤参与评标价平均值计算的投标人数量＜20家时，计算评标价平均值时去掉2个最高值和2个最低值；</w:t>
            </w:r>
          </w:p>
          <w:p>
            <w:pPr>
              <w:spacing w:line="400" w:lineRule="exact"/>
              <w:ind w:firstLine="440" w:firstLineChars="200"/>
              <w:rPr>
                <w:rFonts w:ascii="宋体" w:hAnsi="宋体" w:cs="宋体"/>
                <w:szCs w:val="21"/>
                <w:highlight w:val="none"/>
                <w:lang w:eastAsia="zh-CN"/>
              </w:rPr>
            </w:pPr>
            <w:r>
              <w:rPr>
                <w:rFonts w:hint="eastAsia" w:ascii="宋体" w:hAnsi="宋体" w:cs="宋体"/>
                <w:szCs w:val="21"/>
                <w:highlight w:val="none"/>
                <w:lang w:eastAsia="zh-CN"/>
              </w:rPr>
              <w:t>d、如果20家≤参与评标价平均值计算的投标人数量＜30家时，计算评标价平均值时去掉3个最高值和3个最低值；</w:t>
            </w:r>
          </w:p>
          <w:p>
            <w:pPr>
              <w:spacing w:line="400" w:lineRule="exact"/>
              <w:ind w:firstLine="440" w:firstLineChars="200"/>
              <w:rPr>
                <w:rFonts w:ascii="宋体" w:hAnsi="宋体" w:cs="宋体"/>
                <w:szCs w:val="21"/>
                <w:highlight w:val="none"/>
                <w:lang w:eastAsia="zh-CN"/>
              </w:rPr>
            </w:pPr>
            <w:r>
              <w:rPr>
                <w:rFonts w:hint="eastAsia" w:ascii="宋体" w:hAnsi="宋体" w:cs="宋体"/>
                <w:szCs w:val="21"/>
                <w:highlight w:val="none"/>
                <w:lang w:eastAsia="zh-CN"/>
              </w:rPr>
              <w:t>e、如果30家≤参与评标价平均值计算的投标人数量时，计算评标价平均值时去掉5个最高值和5个最低值；</w:t>
            </w:r>
          </w:p>
          <w:p>
            <w:pPr>
              <w:ind w:firstLine="440" w:firstLineChars="200"/>
              <w:rPr>
                <w:rFonts w:ascii="宋体" w:hAnsi="宋体"/>
                <w:highlight w:val="none"/>
                <w:lang w:eastAsia="zh-CN"/>
              </w:rPr>
            </w:pPr>
            <w:r>
              <w:rPr>
                <w:rFonts w:hint="eastAsia" w:ascii="宋体" w:hAnsi="宋体"/>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40" w:firstLineChars="200"/>
              <w:rPr>
                <w:rFonts w:ascii="宋体" w:hAnsi="宋体" w:eastAsia="宋体" w:cs="Times New Roman"/>
                <w:sz w:val="21"/>
                <w:szCs w:val="21"/>
                <w:highlight w:val="none"/>
                <w:lang w:eastAsia="zh-CN"/>
              </w:rPr>
            </w:pPr>
            <w:r>
              <w:rPr>
                <w:rFonts w:hint="eastAsia" w:ascii="宋体" w:hAnsi="宋体"/>
                <w:highlight w:val="none"/>
                <w:lang w:eastAsia="zh-CN"/>
              </w:rPr>
              <w:t>当所有投标价都高于招标人投标控制价上限时，招标人将重新招标。</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2.2.3</w:t>
            </w:r>
          </w:p>
        </w:tc>
        <w:tc>
          <w:tcPr>
            <w:tcW w:w="2236" w:type="dxa"/>
            <w:vAlign w:val="center"/>
          </w:tcPr>
          <w:p>
            <w:pPr>
              <w:jc w:val="center"/>
              <w:rPr>
                <w:rFonts w:ascii="宋体" w:hAnsi="宋体" w:eastAsia="宋体" w:cs="宋体"/>
                <w:spacing w:val="-1"/>
                <w:sz w:val="21"/>
                <w:szCs w:val="21"/>
                <w:highlight w:val="none"/>
                <w:lang w:eastAsia="zh-CN"/>
              </w:rPr>
            </w:pPr>
            <w:r>
              <w:rPr>
                <w:rFonts w:ascii="宋体" w:hAnsi="宋体" w:eastAsia="宋体" w:cs="宋体"/>
                <w:spacing w:val="-1"/>
                <w:sz w:val="21"/>
                <w:szCs w:val="21"/>
                <w:highlight w:val="none"/>
                <w:lang w:eastAsia="zh-CN"/>
              </w:rPr>
              <w:t>投标报价的偏差率计算公式</w:t>
            </w:r>
          </w:p>
        </w:tc>
        <w:tc>
          <w:tcPr>
            <w:tcW w:w="5806"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偏差率</w:t>
            </w:r>
            <w:r>
              <w:rPr>
                <w:rFonts w:ascii="宋体" w:hAnsi="宋体" w:eastAsia="宋体"/>
                <w:sz w:val="21"/>
                <w:szCs w:val="21"/>
                <w:highlight w:val="none"/>
                <w:lang w:eastAsia="zh-CN"/>
              </w:rPr>
              <w:t>=</w:t>
            </w:r>
            <w:r>
              <w:rPr>
                <w:rFonts w:hint="eastAsia" w:ascii="宋体" w:hAnsi="宋体" w:eastAsia="宋体"/>
                <w:sz w:val="21"/>
                <w:szCs w:val="21"/>
                <w:highlight w:val="none"/>
                <w:lang w:eastAsia="zh-CN"/>
              </w:rPr>
              <w:t>（评标价</w:t>
            </w:r>
            <w:r>
              <w:rPr>
                <w:rFonts w:ascii="宋体" w:hAnsi="宋体" w:eastAsia="宋体"/>
                <w:sz w:val="21"/>
                <w:szCs w:val="21"/>
                <w:highlight w:val="none"/>
                <w:lang w:eastAsia="zh-CN"/>
              </w:rPr>
              <w:t>-评标基准价）÷评标基准价</w:t>
            </w: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100%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b/>
                <w:sz w:val="21"/>
                <w:szCs w:val="21"/>
                <w:highlight w:val="none"/>
                <w:lang w:eastAsia="zh-CN"/>
              </w:rPr>
            </w:pPr>
            <w:r>
              <w:rPr>
                <w:rFonts w:hint="eastAsia" w:ascii="宋体" w:hAnsi="宋体" w:eastAsia="宋体"/>
                <w:b/>
                <w:sz w:val="21"/>
                <w:szCs w:val="21"/>
                <w:highlight w:val="none"/>
                <w:lang w:eastAsia="zh-CN"/>
              </w:rPr>
              <w:t>条款号</w:t>
            </w:r>
          </w:p>
        </w:tc>
        <w:tc>
          <w:tcPr>
            <w:tcW w:w="2236" w:type="dxa"/>
            <w:vAlign w:val="center"/>
          </w:tcPr>
          <w:p>
            <w:pPr>
              <w:jc w:val="center"/>
              <w:rPr>
                <w:rFonts w:ascii="宋体" w:hAnsi="宋体" w:eastAsia="宋体" w:cs="宋体"/>
                <w:b/>
                <w:spacing w:val="-1"/>
                <w:sz w:val="21"/>
                <w:szCs w:val="21"/>
                <w:highlight w:val="none"/>
                <w:lang w:eastAsia="zh-CN"/>
              </w:rPr>
            </w:pPr>
            <w:r>
              <w:rPr>
                <w:rFonts w:hint="eastAsia" w:ascii="宋体" w:hAnsi="宋体" w:eastAsia="宋体" w:cs="宋体"/>
                <w:b/>
                <w:spacing w:val="-1"/>
                <w:sz w:val="21"/>
                <w:szCs w:val="21"/>
                <w:highlight w:val="none"/>
                <w:lang w:eastAsia="zh-CN"/>
              </w:rPr>
              <w:t>评分因素（偏差率）</w:t>
            </w:r>
          </w:p>
        </w:tc>
        <w:tc>
          <w:tcPr>
            <w:tcW w:w="5806" w:type="dxa"/>
            <w:vAlign w:val="center"/>
          </w:tcPr>
          <w:p>
            <w:pPr>
              <w:jc w:val="center"/>
              <w:rPr>
                <w:rFonts w:ascii="宋体" w:hAnsi="宋体" w:eastAsia="宋体" w:cs="宋体"/>
                <w:b/>
                <w:spacing w:val="-2"/>
                <w:sz w:val="21"/>
                <w:szCs w:val="21"/>
                <w:highlight w:val="none"/>
                <w:lang w:eastAsia="zh-CN"/>
              </w:rPr>
            </w:pPr>
            <w:r>
              <w:rPr>
                <w:rFonts w:hint="eastAsia" w:ascii="宋体" w:hAnsi="宋体" w:eastAsia="宋体" w:cs="宋体"/>
                <w:b/>
                <w:spacing w:val="-2"/>
                <w:sz w:val="21"/>
                <w:szCs w:val="21"/>
                <w:highlight w:val="none"/>
                <w:lang w:eastAsia="zh-CN"/>
              </w:rPr>
              <w:t>评分标准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ascii="宋体" w:hAnsi="宋体" w:eastAsia="宋体"/>
                <w:bCs/>
                <w:sz w:val="21"/>
                <w:szCs w:val="21"/>
                <w:highlight w:val="none"/>
                <w:lang w:eastAsia="zh-CN"/>
              </w:rPr>
            </w:pPr>
            <w:r>
              <w:rPr>
                <w:rFonts w:hint="eastAsia" w:ascii="宋体" w:hAnsi="宋体" w:eastAsia="宋体"/>
                <w:bCs/>
                <w:sz w:val="21"/>
                <w:szCs w:val="21"/>
                <w:highlight w:val="none"/>
                <w:lang w:eastAsia="zh-CN"/>
              </w:rPr>
              <w:t>2.2.4（1）</w:t>
            </w:r>
          </w:p>
        </w:tc>
        <w:tc>
          <w:tcPr>
            <w:tcW w:w="1134" w:type="dxa"/>
            <w:vAlign w:val="center"/>
          </w:tcPr>
          <w:p>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商务评分标准</w:t>
            </w:r>
          </w:p>
          <w:p>
            <w:pPr>
              <w:jc w:val="center"/>
              <w:rPr>
                <w:rFonts w:ascii="宋体" w:hAnsi="宋体" w:eastAsia="宋体"/>
                <w:bCs/>
                <w:sz w:val="21"/>
                <w:szCs w:val="21"/>
                <w:highlight w:val="none"/>
                <w:lang w:eastAsia="zh-CN"/>
              </w:rPr>
            </w:pP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10</w:t>
            </w:r>
            <w:r>
              <w:rPr>
                <w:rFonts w:hint="eastAsia" w:ascii="宋体" w:hAnsi="宋体" w:eastAsia="宋体"/>
                <w:sz w:val="21"/>
                <w:szCs w:val="21"/>
                <w:highlight w:val="none"/>
                <w:lang w:eastAsia="zh-CN"/>
              </w:rPr>
              <w:t>分）</w:t>
            </w:r>
          </w:p>
        </w:tc>
        <w:tc>
          <w:tcPr>
            <w:tcW w:w="2236" w:type="dxa"/>
            <w:vAlign w:val="center"/>
          </w:tcPr>
          <w:p>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投标人的业绩</w:t>
            </w:r>
          </w:p>
        </w:tc>
        <w:tc>
          <w:tcPr>
            <w:tcW w:w="5806" w:type="dxa"/>
            <w:vAlign w:val="center"/>
          </w:tcPr>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满足资格审查条件(业绩最低要求)得6分；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近3年内(2019年11月1日至今，以合同签订时间为准)每增加1项满足资格审查条件(业绩最低要求)的业绩加2分，最多加4分。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906" w:type="dxa"/>
            <w:vMerge w:val="restart"/>
            <w:vAlign w:val="center"/>
          </w:tcPr>
          <w:p>
            <w:pPr>
              <w:rPr>
                <w:rFonts w:ascii="宋体" w:hAnsi="宋体" w:eastAsia="宋体"/>
                <w:sz w:val="21"/>
                <w:szCs w:val="21"/>
                <w:highlight w:val="none"/>
                <w:lang w:eastAsia="zh-CN"/>
              </w:rPr>
            </w:pPr>
            <w:r>
              <w:rPr>
                <w:rFonts w:hint="eastAsia" w:ascii="宋体" w:hAnsi="宋体" w:eastAsia="宋体"/>
                <w:sz w:val="21"/>
                <w:szCs w:val="21"/>
                <w:highlight w:val="none"/>
                <w:lang w:eastAsia="zh-CN"/>
              </w:rPr>
              <w:t>2.2.4（2）</w:t>
            </w:r>
          </w:p>
        </w:tc>
        <w:tc>
          <w:tcPr>
            <w:tcW w:w="1134" w:type="dxa"/>
            <w:vMerge w:val="restart"/>
            <w:vAlign w:val="center"/>
          </w:tcPr>
          <w:p>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技术评分标准</w:t>
            </w:r>
          </w:p>
          <w:p>
            <w:pPr>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（4</w:t>
            </w:r>
            <w:r>
              <w:rPr>
                <w:rFonts w:ascii="宋体" w:hAnsi="宋体" w:eastAsia="宋体"/>
                <w:sz w:val="21"/>
                <w:szCs w:val="21"/>
                <w:highlight w:val="none"/>
                <w:lang w:eastAsia="zh-CN"/>
              </w:rPr>
              <w:t>0</w:t>
            </w:r>
            <w:r>
              <w:rPr>
                <w:rFonts w:hint="eastAsia" w:ascii="宋体" w:hAnsi="宋体" w:eastAsia="宋体"/>
                <w:sz w:val="21"/>
                <w:szCs w:val="21"/>
                <w:highlight w:val="none"/>
                <w:lang w:eastAsia="zh-CN"/>
              </w:rPr>
              <w:t>分）</w:t>
            </w:r>
          </w:p>
          <w:p>
            <w:pPr>
              <w:jc w:val="center"/>
              <w:rPr>
                <w:rFonts w:ascii="宋体" w:hAnsi="宋体" w:eastAsia="宋体"/>
                <w:sz w:val="21"/>
                <w:szCs w:val="21"/>
                <w:highlight w:val="none"/>
                <w:lang w:eastAsia="zh-CN"/>
              </w:rPr>
            </w:pPr>
          </w:p>
        </w:tc>
        <w:tc>
          <w:tcPr>
            <w:tcW w:w="2236" w:type="dxa"/>
            <w:vAlign w:val="center"/>
          </w:tcPr>
          <w:p>
            <w:pPr>
              <w:spacing w:line="320" w:lineRule="exact"/>
              <w:jc w:val="center"/>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技术指标、参数响应情况（5分）</w:t>
            </w:r>
          </w:p>
        </w:tc>
        <w:tc>
          <w:tcPr>
            <w:tcW w:w="5806" w:type="dxa"/>
            <w:vAlign w:val="center"/>
          </w:tcPr>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产品性能优，货物参数全部满足或优于采购文件要求，得</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lang w:eastAsia="zh-CN"/>
              </w:rPr>
              <w:t>5分；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产品性能较好，货物参数基本满足采购文件要求，得</w:t>
            </w:r>
            <w:r>
              <w:rPr>
                <w:rFonts w:hint="eastAsia" w:ascii="宋体" w:hAnsi="宋体" w:eastAsia="宋体"/>
                <w:sz w:val="21"/>
                <w:szCs w:val="21"/>
                <w:highlight w:val="none"/>
                <w:lang w:val="en-US" w:eastAsia="zh-CN"/>
              </w:rPr>
              <w:t>3-4</w:t>
            </w:r>
            <w:r>
              <w:rPr>
                <w:rFonts w:hint="eastAsia" w:ascii="宋体" w:hAnsi="宋体" w:eastAsia="宋体"/>
                <w:sz w:val="21"/>
                <w:szCs w:val="21"/>
                <w:highlight w:val="none"/>
                <w:lang w:eastAsia="zh-CN"/>
              </w:rPr>
              <w:t>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产品性能一般，货物勉强满足采购文件要求，得</w:t>
            </w:r>
            <w:r>
              <w:rPr>
                <w:rFonts w:hint="eastAsia" w:ascii="宋体" w:hAnsi="宋体" w:eastAsia="宋体"/>
                <w:sz w:val="21"/>
                <w:szCs w:val="21"/>
                <w:highlight w:val="none"/>
                <w:lang w:val="en-US" w:eastAsia="zh-CN"/>
              </w:rPr>
              <w:t>3分</w:t>
            </w:r>
            <w:r>
              <w:rPr>
                <w:rFonts w:hint="eastAsia" w:ascii="宋体" w:hAnsi="宋体" w:eastAsia="宋体"/>
                <w:sz w:val="21"/>
                <w:szCs w:val="21"/>
                <w:highlight w:val="none"/>
                <w:lang w:eastAsia="zh-CN"/>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213"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jc w:val="center"/>
              <w:rPr>
                <w:rFonts w:ascii="宋体" w:hAnsi="宋体" w:eastAsia="宋体"/>
                <w:sz w:val="21"/>
                <w:szCs w:val="21"/>
                <w:highlight w:val="none"/>
                <w:lang w:eastAsia="zh-CN"/>
              </w:rPr>
            </w:pPr>
          </w:p>
        </w:tc>
        <w:tc>
          <w:tcPr>
            <w:tcW w:w="2236" w:type="dxa"/>
            <w:vAlign w:val="center"/>
          </w:tcPr>
          <w:p>
            <w:pPr>
              <w:spacing w:line="320" w:lineRule="exact"/>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供货保障措施（1</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lang w:eastAsia="zh-CN"/>
              </w:rPr>
              <w:t>分）</w:t>
            </w:r>
          </w:p>
        </w:tc>
        <w:tc>
          <w:tcPr>
            <w:tcW w:w="5806" w:type="dxa"/>
            <w:vAlign w:val="center"/>
          </w:tcPr>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供货保障措施完善得10</w:t>
            </w:r>
            <w:r>
              <w:rPr>
                <w:rFonts w:hint="eastAsia" w:ascii="宋体" w:hAnsi="宋体" w:eastAsia="宋体"/>
                <w:sz w:val="21"/>
                <w:szCs w:val="21"/>
                <w:highlight w:val="none"/>
                <w:lang w:val="en-US" w:eastAsia="zh-CN"/>
              </w:rPr>
              <w:t>-15</w:t>
            </w:r>
            <w:r>
              <w:rPr>
                <w:rFonts w:hint="eastAsia" w:ascii="宋体" w:hAnsi="宋体" w:eastAsia="宋体"/>
                <w:sz w:val="21"/>
                <w:szCs w:val="21"/>
                <w:highlight w:val="none"/>
                <w:lang w:eastAsia="zh-CN"/>
              </w:rPr>
              <w:t>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供货保障措施较好得6-</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lang w:eastAsia="zh-CN"/>
              </w:rPr>
              <w:t>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供货保障措施一般得6分；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17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spacing w:line="320" w:lineRule="exact"/>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售后服务方案及承诺（10分）</w:t>
            </w:r>
          </w:p>
        </w:tc>
        <w:tc>
          <w:tcPr>
            <w:tcW w:w="5806" w:type="dxa"/>
            <w:vAlign w:val="center"/>
          </w:tcPr>
          <w:p>
            <w:pPr>
              <w:spacing w:line="320" w:lineRule="exact"/>
              <w:rPr>
                <w:highlight w:val="none"/>
                <w:lang w:eastAsia="zh-CN"/>
              </w:rPr>
            </w:pPr>
            <w:r>
              <w:rPr>
                <w:rFonts w:hint="eastAsia" w:ascii="宋体" w:hAnsi="宋体" w:eastAsia="宋体"/>
                <w:sz w:val="21"/>
                <w:szCs w:val="21"/>
                <w:highlight w:val="none"/>
                <w:lang w:eastAsia="zh-CN"/>
              </w:rPr>
              <w:t>综合审查投标人提供的售后服务方案完善程度、可行性等是否符合招标文件中的有关要求等方面（包括但不限于供货期、售后服务承诺，保修服务承诺，质量保证期，售后服务组织，上门现场服务、定期巡检及技术支持等）完善得8-10分；较好得6-8分；一般得6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177" w:hRule="atLeast"/>
          <w:jc w:val="center"/>
        </w:trPr>
        <w:tc>
          <w:tcPr>
            <w:tcW w:w="906" w:type="dxa"/>
            <w:vMerge w:val="continue"/>
            <w:vAlign w:val="center"/>
          </w:tcPr>
          <w:p>
            <w:pPr>
              <w:rPr>
                <w:rFonts w:ascii="宋体" w:hAnsi="宋体" w:eastAsia="宋体"/>
                <w:sz w:val="21"/>
                <w:szCs w:val="21"/>
                <w:highlight w:val="none"/>
                <w:lang w:eastAsia="zh-CN"/>
              </w:rPr>
            </w:pPr>
          </w:p>
        </w:tc>
        <w:tc>
          <w:tcPr>
            <w:tcW w:w="1134" w:type="dxa"/>
            <w:vMerge w:val="continue"/>
            <w:vAlign w:val="center"/>
          </w:tcPr>
          <w:p>
            <w:pPr>
              <w:rPr>
                <w:rFonts w:ascii="宋体" w:hAnsi="宋体" w:eastAsia="宋体"/>
                <w:sz w:val="21"/>
                <w:szCs w:val="21"/>
                <w:highlight w:val="none"/>
                <w:lang w:eastAsia="zh-CN"/>
              </w:rPr>
            </w:pPr>
          </w:p>
        </w:tc>
        <w:tc>
          <w:tcPr>
            <w:tcW w:w="2236" w:type="dxa"/>
            <w:vAlign w:val="center"/>
          </w:tcPr>
          <w:p>
            <w:pPr>
              <w:spacing w:line="320" w:lineRule="exact"/>
              <w:jc w:val="center"/>
              <w:rPr>
                <w:rFonts w:ascii="宋体" w:hAnsi="宋体" w:eastAsia="宋体"/>
                <w:sz w:val="21"/>
                <w:szCs w:val="21"/>
                <w:highlight w:val="none"/>
                <w:lang w:eastAsia="zh-CN"/>
              </w:rPr>
            </w:pPr>
            <w:r>
              <w:rPr>
                <w:rFonts w:hint="eastAsia" w:ascii="宋体" w:hAnsi="宋体" w:eastAsia="宋体"/>
                <w:sz w:val="21"/>
                <w:szCs w:val="21"/>
                <w:highlight w:val="none"/>
                <w:lang w:eastAsia="zh-CN"/>
              </w:rPr>
              <w:t>应急响应方案（10分）</w:t>
            </w:r>
          </w:p>
        </w:tc>
        <w:tc>
          <w:tcPr>
            <w:tcW w:w="5806" w:type="dxa"/>
            <w:vAlign w:val="center"/>
          </w:tcPr>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应急响应方案全面、具体、完善、切实可行的得8-10分</w:t>
            </w:r>
          </w:p>
          <w:p>
            <w:pPr>
              <w:spacing w:line="320" w:lineRule="exac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应急响应方案具体、完善、可行的得6-8分</w:t>
            </w:r>
          </w:p>
          <w:p>
            <w:pPr>
              <w:spacing w:line="320" w:lineRule="exact"/>
              <w:rPr>
                <w:highlight w:val="none"/>
                <w:lang w:eastAsia="zh-CN"/>
              </w:rPr>
            </w:pPr>
            <w:r>
              <w:rPr>
                <w:rFonts w:hint="eastAsia" w:ascii="宋体" w:hAnsi="宋体" w:eastAsia="宋体"/>
                <w:sz w:val="21"/>
                <w:szCs w:val="21"/>
                <w:highlight w:val="none"/>
                <w:lang w:eastAsia="zh-CN"/>
              </w:rPr>
              <w:t>应急响应方案基本可行的得6分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3604" w:hRule="atLeast"/>
          <w:jc w:val="center"/>
        </w:trPr>
        <w:tc>
          <w:tcPr>
            <w:tcW w:w="906"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2.2.4（2）</w:t>
            </w:r>
          </w:p>
        </w:tc>
        <w:tc>
          <w:tcPr>
            <w:tcW w:w="1134"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评标价评分标准</w:t>
            </w:r>
            <w:r>
              <w:rPr>
                <w:rFonts w:hint="eastAsia" w:ascii="宋体" w:hAnsi="宋体" w:eastAsia="宋体"/>
                <w:spacing w:val="12"/>
                <w:sz w:val="21"/>
                <w:szCs w:val="21"/>
                <w:highlight w:val="none"/>
                <w:lang w:eastAsia="zh-CN"/>
              </w:rPr>
              <w:t>（</w:t>
            </w:r>
            <w:r>
              <w:rPr>
                <w:rFonts w:ascii="宋体" w:hAnsi="宋体" w:eastAsia="宋体"/>
                <w:sz w:val="21"/>
                <w:szCs w:val="21"/>
                <w:highlight w:val="none"/>
                <w:lang w:eastAsia="zh-CN"/>
              </w:rPr>
              <w:t>50</w:t>
            </w:r>
            <w:r>
              <w:rPr>
                <w:rFonts w:hint="eastAsia" w:ascii="宋体" w:hAnsi="宋体" w:eastAsia="宋体"/>
                <w:sz w:val="21"/>
                <w:szCs w:val="21"/>
                <w:highlight w:val="none"/>
                <w:lang w:eastAsia="zh-CN"/>
              </w:rPr>
              <w:t>分</w:t>
            </w:r>
            <w:r>
              <w:rPr>
                <w:rFonts w:hint="eastAsia" w:ascii="宋体" w:hAnsi="宋体" w:eastAsia="宋体"/>
                <w:spacing w:val="12"/>
                <w:sz w:val="21"/>
                <w:szCs w:val="21"/>
                <w:highlight w:val="none"/>
                <w:lang w:eastAsia="zh-CN"/>
              </w:rPr>
              <w:t>）</w:t>
            </w:r>
          </w:p>
        </w:tc>
        <w:tc>
          <w:tcPr>
            <w:tcW w:w="2236" w:type="dxa"/>
            <w:vAlign w:val="center"/>
          </w:tcPr>
          <w:p>
            <w:pPr>
              <w:jc w:val="center"/>
              <w:rPr>
                <w:rFonts w:ascii="宋体" w:hAnsi="宋体" w:eastAsia="宋体" w:cs="宋体"/>
                <w:spacing w:val="-1"/>
                <w:sz w:val="21"/>
                <w:szCs w:val="21"/>
                <w:highlight w:val="none"/>
                <w:lang w:eastAsia="zh-CN"/>
              </w:rPr>
            </w:pPr>
            <w:r>
              <w:rPr>
                <w:rFonts w:hint="eastAsia" w:ascii="宋体" w:hAnsi="宋体" w:eastAsia="宋体"/>
                <w:sz w:val="21"/>
                <w:szCs w:val="21"/>
                <w:highlight w:val="none"/>
                <w:lang w:eastAsia="zh-CN"/>
              </w:rPr>
              <w:t>评标价得分</w:t>
            </w:r>
          </w:p>
        </w:tc>
        <w:tc>
          <w:tcPr>
            <w:tcW w:w="5806" w:type="dxa"/>
            <w:vAlign w:val="center"/>
          </w:tcPr>
          <w:p>
            <w:pPr>
              <w:rPr>
                <w:rFonts w:ascii="宋体" w:hAnsi="宋体" w:eastAsia="宋体"/>
                <w:sz w:val="21"/>
                <w:szCs w:val="21"/>
                <w:highlight w:val="none"/>
                <w:lang w:eastAsia="zh-CN"/>
              </w:rPr>
            </w:pPr>
            <w:r>
              <w:rPr>
                <w:rFonts w:hint="eastAsia" w:ascii="宋体" w:hAnsi="宋体" w:eastAsia="宋体"/>
                <w:sz w:val="21"/>
                <w:szCs w:val="21"/>
                <w:highlight w:val="none"/>
                <w:lang w:eastAsia="zh-CN"/>
              </w:rPr>
              <w:t>评标价得分计算公式：</w:t>
            </w:r>
          </w:p>
          <w:p>
            <w:pPr>
              <w:ind w:firstLine="420" w:firstLineChars="200"/>
              <w:rPr>
                <w:rFonts w:ascii="宋体" w:hAnsi="宋体" w:eastAsia="宋体"/>
                <w:sz w:val="21"/>
                <w:szCs w:val="21"/>
                <w:highlight w:val="none"/>
                <w:lang w:eastAsia="zh-CN"/>
              </w:rPr>
            </w:pP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1</w:t>
            </w:r>
            <w:r>
              <w:rPr>
                <w:rFonts w:hint="eastAsia" w:ascii="宋体" w:hAnsi="宋体" w:eastAsia="宋体"/>
                <w:sz w:val="21"/>
                <w:szCs w:val="21"/>
                <w:highlight w:val="none"/>
                <w:lang w:eastAsia="zh-CN"/>
              </w:rPr>
              <w:t>)如果投标人的评标价＞评标基准价，则评标价得分</w:t>
            </w:r>
            <w:r>
              <w:rPr>
                <w:rFonts w:ascii="宋体" w:hAnsi="宋体" w:eastAsia="宋体"/>
                <w:sz w:val="21"/>
                <w:szCs w:val="21"/>
                <w:highlight w:val="none"/>
                <w:lang w:eastAsia="zh-CN"/>
              </w:rPr>
              <w:t>=50</w:t>
            </w:r>
            <w:r>
              <w:rPr>
                <w:rFonts w:hint="eastAsia" w:ascii="宋体" w:hAnsi="宋体" w:eastAsia="宋体"/>
                <w:sz w:val="21"/>
                <w:szCs w:val="21"/>
                <w:highlight w:val="none"/>
                <w:lang w:eastAsia="zh-CN"/>
              </w:rPr>
              <w:t>-偏差率×</w:t>
            </w:r>
            <w:r>
              <w:rPr>
                <w:rFonts w:ascii="宋体" w:hAnsi="宋体" w:eastAsia="宋体"/>
                <w:sz w:val="21"/>
                <w:szCs w:val="21"/>
                <w:highlight w:val="none"/>
                <w:lang w:eastAsia="zh-CN"/>
              </w:rPr>
              <w:t>100</w:t>
            </w: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E</w:t>
            </w:r>
            <w:r>
              <w:rPr>
                <w:rFonts w:hint="eastAsia" w:ascii="宋体" w:hAnsi="宋体" w:eastAsia="宋体"/>
                <w:sz w:val="21"/>
                <w:szCs w:val="21"/>
                <w:highlight w:val="none"/>
                <w:vertAlign w:val="subscript"/>
                <w:lang w:eastAsia="zh-CN"/>
              </w:rPr>
              <w:t>1</w:t>
            </w:r>
            <w:r>
              <w:rPr>
                <w:rFonts w:hint="eastAsia" w:ascii="宋体" w:hAnsi="宋体" w:eastAsia="宋体"/>
                <w:sz w:val="21"/>
                <w:szCs w:val="21"/>
                <w:highlight w:val="none"/>
                <w:lang w:eastAsia="zh-CN"/>
              </w:rPr>
              <w:t>；</w:t>
            </w:r>
          </w:p>
          <w:p>
            <w:pPr>
              <w:ind w:firstLine="420" w:firstLineChars="200"/>
              <w:rPr>
                <w:rFonts w:ascii="宋体" w:hAnsi="宋体" w:eastAsia="宋体"/>
                <w:sz w:val="21"/>
                <w:szCs w:val="21"/>
                <w:highlight w:val="none"/>
                <w:lang w:eastAsia="zh-CN"/>
              </w:rPr>
            </w:pP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2</w:t>
            </w:r>
            <w:r>
              <w:rPr>
                <w:rFonts w:hint="eastAsia" w:ascii="宋体" w:hAnsi="宋体" w:eastAsia="宋体"/>
                <w:sz w:val="21"/>
                <w:szCs w:val="21"/>
                <w:highlight w:val="none"/>
                <w:lang w:eastAsia="zh-CN"/>
              </w:rPr>
              <w:t>)如果投标人的评标价≤评标基准价，则评标价得分</w:t>
            </w:r>
            <w:r>
              <w:rPr>
                <w:rFonts w:ascii="宋体" w:hAnsi="宋体" w:eastAsia="宋体"/>
                <w:sz w:val="21"/>
                <w:szCs w:val="21"/>
                <w:highlight w:val="none"/>
                <w:lang w:eastAsia="zh-CN"/>
              </w:rPr>
              <w:t>=50+</w:t>
            </w:r>
            <w:r>
              <w:rPr>
                <w:rFonts w:hint="eastAsia" w:ascii="宋体" w:hAnsi="宋体" w:eastAsia="宋体"/>
                <w:sz w:val="21"/>
                <w:szCs w:val="21"/>
                <w:highlight w:val="none"/>
                <w:lang w:eastAsia="zh-CN"/>
              </w:rPr>
              <w:t>偏差率×</w:t>
            </w:r>
            <w:r>
              <w:rPr>
                <w:rFonts w:ascii="宋体" w:hAnsi="宋体" w:eastAsia="宋体"/>
                <w:sz w:val="21"/>
                <w:szCs w:val="21"/>
                <w:highlight w:val="none"/>
                <w:lang w:eastAsia="zh-CN"/>
              </w:rPr>
              <w:t>100</w:t>
            </w:r>
            <w:r>
              <w:rPr>
                <w:rFonts w:hint="eastAsia" w:ascii="宋体" w:hAnsi="宋体" w:eastAsia="宋体"/>
                <w:sz w:val="21"/>
                <w:szCs w:val="21"/>
                <w:highlight w:val="none"/>
                <w:lang w:eastAsia="zh-CN"/>
              </w:rPr>
              <w:t>×</w:t>
            </w:r>
            <w:r>
              <w:rPr>
                <w:rFonts w:ascii="宋体" w:hAnsi="宋体" w:eastAsia="宋体"/>
                <w:sz w:val="21"/>
                <w:szCs w:val="21"/>
                <w:highlight w:val="none"/>
                <w:lang w:eastAsia="zh-CN"/>
              </w:rPr>
              <w:t>E</w:t>
            </w:r>
            <w:r>
              <w:rPr>
                <w:rFonts w:ascii="宋体" w:hAnsi="宋体" w:eastAsia="宋体"/>
                <w:sz w:val="21"/>
                <w:szCs w:val="21"/>
                <w:highlight w:val="none"/>
                <w:vertAlign w:val="subscript"/>
                <w:lang w:eastAsia="zh-CN"/>
              </w:rPr>
              <w:t>2</w:t>
            </w:r>
            <w:r>
              <w:rPr>
                <w:rFonts w:hint="eastAsia" w:ascii="宋体" w:hAnsi="宋体" w:eastAsia="宋体"/>
                <w:sz w:val="21"/>
                <w:szCs w:val="21"/>
                <w:highlight w:val="none"/>
                <w:lang w:eastAsia="zh-CN"/>
              </w:rPr>
              <w:t>。</w:t>
            </w:r>
          </w:p>
          <w:p>
            <w:pPr>
              <w:rPr>
                <w:rFonts w:ascii="宋体" w:hAnsi="宋体" w:eastAsia="宋体"/>
                <w:sz w:val="21"/>
                <w:szCs w:val="21"/>
                <w:highlight w:val="none"/>
                <w:lang w:eastAsia="zh-CN"/>
              </w:rPr>
            </w:pPr>
            <w:r>
              <w:rPr>
                <w:rFonts w:hint="eastAsia" w:ascii="宋体" w:hAnsi="宋体" w:eastAsia="宋体"/>
                <w:sz w:val="21"/>
                <w:szCs w:val="21"/>
                <w:highlight w:val="none"/>
                <w:lang w:eastAsia="zh-CN"/>
              </w:rPr>
              <w:t>其中：</w:t>
            </w:r>
          </w:p>
          <w:p>
            <w:pPr>
              <w:ind w:firstLine="420" w:firstLineChars="200"/>
              <w:rPr>
                <w:rFonts w:ascii="宋体" w:hAnsi="宋体" w:eastAsia="宋体"/>
                <w:sz w:val="21"/>
                <w:szCs w:val="21"/>
                <w:highlight w:val="none"/>
                <w:lang w:eastAsia="zh-CN"/>
              </w:rPr>
            </w:pPr>
            <w:r>
              <w:rPr>
                <w:rFonts w:ascii="宋体" w:hAnsi="宋体" w:eastAsia="宋体"/>
                <w:sz w:val="21"/>
                <w:szCs w:val="21"/>
                <w:highlight w:val="none"/>
                <w:lang w:eastAsia="zh-CN"/>
              </w:rPr>
              <w:t>E</w:t>
            </w:r>
            <w:r>
              <w:rPr>
                <w:rFonts w:hint="eastAsia" w:ascii="宋体" w:hAnsi="宋体" w:eastAsia="宋体"/>
                <w:sz w:val="21"/>
                <w:szCs w:val="21"/>
                <w:highlight w:val="none"/>
                <w:vertAlign w:val="subscript"/>
                <w:lang w:eastAsia="zh-CN"/>
              </w:rPr>
              <w:t>1</w:t>
            </w:r>
            <w:r>
              <w:rPr>
                <w:rFonts w:hint="eastAsia" w:ascii="宋体" w:hAnsi="宋体" w:eastAsia="宋体"/>
                <w:sz w:val="21"/>
                <w:szCs w:val="21"/>
                <w:highlight w:val="none"/>
                <w:lang w:eastAsia="zh-CN"/>
              </w:rPr>
              <w:t>是评标价每高于评标基准价一个百分点的扣分值，</w:t>
            </w:r>
            <w:r>
              <w:rPr>
                <w:rFonts w:ascii="宋体" w:hAnsi="宋体" w:eastAsia="宋体"/>
                <w:sz w:val="21"/>
                <w:szCs w:val="21"/>
                <w:highlight w:val="none"/>
                <w:lang w:eastAsia="zh-CN"/>
              </w:rPr>
              <w:t>E</w:t>
            </w:r>
            <w:r>
              <w:rPr>
                <w:rFonts w:hint="eastAsia" w:ascii="宋体" w:hAnsi="宋体" w:eastAsia="宋体"/>
                <w:sz w:val="21"/>
                <w:szCs w:val="21"/>
                <w:highlight w:val="none"/>
                <w:vertAlign w:val="subscript"/>
                <w:lang w:eastAsia="zh-CN"/>
              </w:rPr>
              <w:t>1</w:t>
            </w:r>
            <w:r>
              <w:rPr>
                <w:rFonts w:hint="eastAsia" w:ascii="宋体" w:hAnsi="宋体" w:eastAsia="宋体"/>
                <w:sz w:val="21"/>
                <w:szCs w:val="21"/>
                <w:highlight w:val="none"/>
                <w:lang w:eastAsia="zh-CN"/>
              </w:rPr>
              <w:t>＝0.</w:t>
            </w:r>
            <w:r>
              <w:rPr>
                <w:rFonts w:ascii="宋体" w:hAnsi="宋体" w:eastAsia="宋体"/>
                <w:sz w:val="21"/>
                <w:szCs w:val="21"/>
                <w:highlight w:val="none"/>
                <w:lang w:eastAsia="zh-CN"/>
              </w:rPr>
              <w:t>6</w:t>
            </w:r>
            <w:r>
              <w:rPr>
                <w:rFonts w:hint="eastAsia" w:ascii="宋体" w:hAnsi="宋体" w:eastAsia="宋体"/>
                <w:sz w:val="21"/>
                <w:szCs w:val="21"/>
                <w:highlight w:val="none"/>
                <w:lang w:eastAsia="zh-CN"/>
              </w:rPr>
              <w:t>；</w:t>
            </w:r>
          </w:p>
          <w:p>
            <w:pPr>
              <w:ind w:firstLine="420" w:firstLineChars="200"/>
              <w:rPr>
                <w:rFonts w:ascii="宋体" w:hAnsi="宋体" w:eastAsia="宋体"/>
                <w:sz w:val="21"/>
                <w:szCs w:val="21"/>
                <w:highlight w:val="none"/>
                <w:lang w:eastAsia="zh-CN"/>
              </w:rPr>
            </w:pPr>
            <w:r>
              <w:rPr>
                <w:rFonts w:ascii="宋体" w:hAnsi="宋体" w:eastAsia="宋体"/>
                <w:sz w:val="21"/>
                <w:szCs w:val="21"/>
                <w:highlight w:val="none"/>
                <w:lang w:eastAsia="zh-CN"/>
              </w:rPr>
              <w:t>E</w:t>
            </w:r>
            <w:r>
              <w:rPr>
                <w:rFonts w:hint="eastAsia" w:ascii="宋体" w:hAnsi="宋体" w:eastAsia="宋体"/>
                <w:sz w:val="21"/>
                <w:szCs w:val="21"/>
                <w:highlight w:val="none"/>
                <w:vertAlign w:val="subscript"/>
                <w:lang w:eastAsia="zh-CN"/>
              </w:rPr>
              <w:t>2</w:t>
            </w:r>
            <w:r>
              <w:rPr>
                <w:rFonts w:hint="eastAsia" w:ascii="宋体" w:hAnsi="宋体" w:eastAsia="宋体"/>
                <w:sz w:val="21"/>
                <w:szCs w:val="21"/>
                <w:highlight w:val="none"/>
                <w:lang w:eastAsia="zh-CN"/>
              </w:rPr>
              <w:t>是评标价每低于评标基准价一个百分点的扣分值，</w:t>
            </w:r>
            <w:r>
              <w:rPr>
                <w:rFonts w:ascii="宋体" w:hAnsi="宋体" w:eastAsia="宋体"/>
                <w:sz w:val="21"/>
                <w:szCs w:val="21"/>
                <w:highlight w:val="none"/>
                <w:lang w:eastAsia="zh-CN"/>
              </w:rPr>
              <w:t>E</w:t>
            </w:r>
            <w:r>
              <w:rPr>
                <w:rFonts w:hint="eastAsia" w:ascii="宋体" w:hAnsi="宋体" w:eastAsia="宋体"/>
                <w:sz w:val="21"/>
                <w:szCs w:val="21"/>
                <w:highlight w:val="none"/>
                <w:vertAlign w:val="subscript"/>
                <w:lang w:eastAsia="zh-CN"/>
              </w:rPr>
              <w:t>2</w:t>
            </w:r>
            <w:r>
              <w:rPr>
                <w:rFonts w:hint="eastAsia" w:ascii="宋体" w:hAnsi="宋体" w:eastAsia="宋体"/>
                <w:sz w:val="21"/>
                <w:szCs w:val="21"/>
                <w:highlight w:val="none"/>
                <w:lang w:eastAsia="zh-CN"/>
              </w:rPr>
              <w:t>＝0.</w:t>
            </w:r>
            <w:r>
              <w:rPr>
                <w:rFonts w:ascii="宋体" w:hAnsi="宋体" w:eastAsia="宋体"/>
                <w:sz w:val="21"/>
                <w:szCs w:val="21"/>
                <w:highlight w:val="none"/>
                <w:lang w:eastAsia="zh-CN"/>
              </w:rPr>
              <w:t>3</w:t>
            </w:r>
            <w:r>
              <w:rPr>
                <w:rFonts w:hint="eastAsia" w:ascii="宋体" w:hAnsi="宋体" w:eastAsia="宋体"/>
                <w:sz w:val="21"/>
                <w:szCs w:val="21"/>
                <w:highlight w:val="none"/>
                <w:lang w:eastAsia="zh-CN"/>
              </w:rPr>
              <w:t>。</w:t>
            </w:r>
          </w:p>
          <w:p>
            <w:pPr>
              <w:ind w:firstLine="420" w:firstLineChars="200"/>
              <w:rPr>
                <w:rFonts w:ascii="宋体" w:hAnsi="宋体" w:eastAsia="宋体"/>
                <w:sz w:val="21"/>
                <w:szCs w:val="21"/>
                <w:highlight w:val="none"/>
                <w:lang w:eastAsia="zh-CN"/>
              </w:rPr>
            </w:pPr>
            <w:r>
              <w:rPr>
                <w:rFonts w:hint="eastAsia" w:ascii="宋体" w:hAnsi="宋体" w:eastAsia="宋体"/>
                <w:sz w:val="21"/>
                <w:szCs w:val="21"/>
                <w:highlight w:val="none"/>
                <w:lang w:eastAsia="zh-CN"/>
              </w:rPr>
              <w:t>评标价得分保留小数点后两位，小数点后第三位“四舍五入”。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2.2.4（3）</w:t>
            </w:r>
          </w:p>
        </w:tc>
        <w:tc>
          <w:tcPr>
            <w:tcW w:w="1134"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其他因素评分标准</w:t>
            </w:r>
          </w:p>
        </w:tc>
        <w:tc>
          <w:tcPr>
            <w:tcW w:w="2236"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w:t>
            </w:r>
          </w:p>
        </w:tc>
        <w:tc>
          <w:tcPr>
            <w:tcW w:w="5806" w:type="dxa"/>
            <w:vAlign w:val="center"/>
          </w:tcPr>
          <w:p>
            <w:pPr>
              <w:rPr>
                <w:rFonts w:ascii="宋体" w:hAnsi="宋体" w:eastAsia="宋体" w:cs="Times New Roman"/>
                <w:sz w:val="21"/>
                <w:szCs w:val="21"/>
                <w:highlight w:val="none"/>
                <w:lang w:eastAsia="zh-CN"/>
              </w:rPr>
            </w:pPr>
            <w:r>
              <w:rPr>
                <w:rFonts w:hint="eastAsia" w:ascii="宋体" w:hAnsi="宋体" w:eastAsia="宋体"/>
                <w:sz w:val="21"/>
                <w:szCs w:val="21"/>
                <w:highlight w:val="none"/>
                <w:lang w:eastAsia="zh-CN"/>
              </w:rPr>
              <w:t>/</w:t>
            </w:r>
          </w:p>
        </w:tc>
      </w:tr>
      <w:bookmarkEnd w:id="1"/>
    </w:tbl>
    <w:p>
      <w:pPr>
        <w:jc w:val="both"/>
        <w:outlineLvl w:val="0"/>
        <w:rPr>
          <w:rFonts w:ascii="宋体" w:hAnsi="宋体" w:eastAsia="宋体"/>
          <w:b/>
          <w:sz w:val="28"/>
          <w:szCs w:val="28"/>
          <w:highlight w:val="none"/>
          <w:lang w:eastAsia="zh-CN"/>
        </w:rPr>
      </w:pPr>
      <w:r>
        <w:rPr>
          <w:rFonts w:hint="eastAsia" w:ascii="宋体" w:hAnsi="宋体" w:eastAsia="宋体"/>
          <w:b/>
          <w:sz w:val="28"/>
          <w:szCs w:val="28"/>
          <w:highlight w:val="none"/>
          <w:lang w:eastAsia="zh-CN"/>
        </w:rPr>
        <w:t>注：(1)第 2.2.4</w:t>
      </w:r>
      <w:r>
        <w:rPr>
          <w:rFonts w:hint="eastAsia" w:ascii="宋体" w:hAnsi="宋体" w:eastAsia="宋体"/>
          <w:b/>
          <w:sz w:val="28"/>
          <w:szCs w:val="28"/>
          <w:highlight w:val="none"/>
          <w:lang w:val="en-US" w:eastAsia="zh-CN"/>
        </w:rPr>
        <w:t xml:space="preserve"> </w:t>
      </w:r>
      <w:r>
        <w:rPr>
          <w:rFonts w:hint="eastAsia" w:ascii="宋体" w:hAnsi="宋体" w:eastAsia="宋体"/>
          <w:b/>
          <w:sz w:val="28"/>
          <w:szCs w:val="28"/>
          <w:highlight w:val="none"/>
          <w:lang w:eastAsia="zh-CN"/>
        </w:rPr>
        <w:t>(2) 项各评委打分保留 1 位小数，投标人该项得分以各评委打分平均值计算所得，保留两位小数，第三位小数四舍五入。</w:t>
      </w:r>
    </w:p>
    <w:p>
      <w:pPr>
        <w:jc w:val="both"/>
        <w:outlineLvl w:val="0"/>
        <w:rPr>
          <w:rFonts w:ascii="宋体" w:hAnsi="宋体" w:eastAsia="宋体"/>
          <w:b/>
          <w:sz w:val="28"/>
          <w:szCs w:val="28"/>
          <w:highlight w:val="none"/>
          <w:lang w:eastAsia="zh-CN"/>
        </w:rPr>
      </w:pPr>
      <w:bookmarkStart w:id="12" w:name="_GoBack"/>
      <w:bookmarkEnd w:id="12"/>
      <w:r>
        <w:rPr>
          <w:rFonts w:hint="eastAsia" w:ascii="宋体" w:hAnsi="宋体" w:eastAsia="宋体"/>
          <w:b/>
          <w:sz w:val="28"/>
          <w:szCs w:val="28"/>
          <w:highlight w:val="none"/>
          <w:lang w:eastAsia="zh-CN"/>
        </w:rPr>
        <w:t>(2)第 2.2.4</w:t>
      </w:r>
      <w:r>
        <w:rPr>
          <w:rFonts w:hint="eastAsia" w:ascii="宋体" w:hAnsi="宋体" w:eastAsia="宋体"/>
          <w:b/>
          <w:sz w:val="28"/>
          <w:szCs w:val="28"/>
          <w:highlight w:val="none"/>
          <w:lang w:val="en-US" w:eastAsia="zh-CN"/>
        </w:rPr>
        <w:t xml:space="preserve"> </w:t>
      </w:r>
      <w:r>
        <w:rPr>
          <w:rFonts w:hint="eastAsia" w:ascii="宋体" w:hAnsi="宋体" w:eastAsia="宋体"/>
          <w:b/>
          <w:sz w:val="28"/>
          <w:szCs w:val="28"/>
          <w:highlight w:val="none"/>
          <w:lang w:eastAsia="zh-CN"/>
        </w:rPr>
        <w:t>(2)项评审因素缺项则该项得 0 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679115B3"/>
    <w:rsid w:val="28D96AEF"/>
    <w:rsid w:val="338B68C1"/>
    <w:rsid w:val="3C163FE1"/>
    <w:rsid w:val="6496419C"/>
    <w:rsid w:val="6791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5">
    <w:name w:val="heading 2"/>
    <w:basedOn w:val="1"/>
    <w:next w:val="1"/>
    <w:qFormat/>
    <w:uiPriority w:val="0"/>
    <w:pPr>
      <w:keepNext/>
      <w:keepLines/>
      <w:spacing w:before="260" w:after="260" w:line="416" w:lineRule="auto"/>
      <w:jc w:val="both"/>
      <w:outlineLvl w:val="1"/>
    </w:pPr>
    <w:rPr>
      <w:rFonts w:ascii="Arial" w:hAnsi="Arial" w:eastAsia="黑体" w:cs="Times New Roman"/>
      <w:b/>
      <w:bCs/>
      <w:sz w:val="32"/>
      <w:szCs w:val="32"/>
      <w:lang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left="0" w:firstLine="420" w:firstLineChars="100"/>
      <w:jc w:val="both"/>
    </w:pPr>
    <w:rPr>
      <w:rFonts w:ascii="Times New Roman" w:hAnsi="Times New Roman" w:cs="Times New Roman"/>
      <w:kern w:val="2"/>
      <w:szCs w:val="20"/>
      <w:lang w:eastAsia="zh-CN"/>
    </w:rPr>
  </w:style>
  <w:style w:type="paragraph" w:styleId="3">
    <w:name w:val="Body Text"/>
    <w:basedOn w:val="1"/>
    <w:next w:val="4"/>
    <w:qFormat/>
    <w:uiPriority w:val="1"/>
    <w:pPr>
      <w:ind w:left="100"/>
    </w:pPr>
    <w:rPr>
      <w:rFonts w:ascii="宋体" w:hAnsi="宋体" w:eastAsia="宋体"/>
      <w:sz w:val="21"/>
      <w:szCs w:val="21"/>
    </w:rPr>
  </w:style>
  <w:style w:type="paragraph" w:styleId="4">
    <w:name w:val="Body Text 2"/>
    <w:basedOn w:val="1"/>
    <w:qFormat/>
    <w:uiPriority w:val="0"/>
    <w:pPr>
      <w:spacing w:after="120" w:line="480" w:lineRule="auto"/>
      <w:jc w:val="both"/>
    </w:pPr>
    <w:rPr>
      <w:rFonts w:ascii="Times New Roman" w:hAnsi="Times New Roman" w:eastAsia="宋体" w:cs="Times New Roman"/>
      <w:kern w:val="2"/>
      <w:sz w:val="21"/>
      <w:szCs w:val="24"/>
      <w:lang w:eastAsia="zh-CN"/>
    </w:rPr>
  </w:style>
  <w:style w:type="paragraph" w:customStyle="1" w:styleId="8">
    <w:name w:val="正文正文"/>
    <w:basedOn w:val="1"/>
    <w:qFormat/>
    <w:uiPriority w:val="0"/>
    <w:pPr>
      <w:adjustRightInd w:val="0"/>
      <w:spacing w:line="312" w:lineRule="atLeast"/>
      <w:jc w:val="both"/>
      <w:textAlignment w:val="baseline"/>
    </w:pPr>
    <w:rPr>
      <w:rFonts w:ascii="Times New Roman" w:hAnsi="Times New Roman" w:eastAsia="宋体" w:cs="Times New Roman"/>
      <w:sz w:val="21"/>
      <w:szCs w:val="20"/>
      <w:lang w:eastAsia="zh-CN"/>
    </w:rPr>
  </w:style>
  <w:style w:type="paragraph" w:customStyle="1" w:styleId="9">
    <w:name w:val="标题 31"/>
    <w:basedOn w:val="1"/>
    <w:qFormat/>
    <w:uiPriority w:val="1"/>
    <w:pPr>
      <w:ind w:left="100"/>
      <w:outlineLvl w:val="3"/>
    </w:pPr>
    <w:rPr>
      <w:rFonts w:ascii="Microsoft JhengHei" w:hAnsi="Microsoft JhengHei" w:eastAsia="Microsoft JhengHei"/>
      <w:b/>
      <w:bCs/>
      <w:sz w:val="32"/>
      <w:szCs w:val="32"/>
    </w:r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3742</Words>
  <Characters>4187</Characters>
  <Lines>0</Lines>
  <Paragraphs>0</Paragraphs>
  <TotalTime>2</TotalTime>
  <ScaleCrop>false</ScaleCrop>
  <LinksUpToDate>false</LinksUpToDate>
  <CharactersWithSpaces>4232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2022-12-01T09:25:00Z</dcterms:created>
  <dc:creator>Administrator</dc:creator>
  <cp:lastModifiedBy>丁燕</cp:lastModifiedBy>
  <dcterms:modified xsi:type="dcterms:W3CDTF">2022-12-06T00:52:08Z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8F3DB28D11E64E2B957475153E1D6ADD</vt:lpwstr>
  </property>
</Properties>
</file>