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宋体"/>
          <w:color w:val="auto"/>
          <w:sz w:val="24"/>
          <w:highlight w:val="none"/>
        </w:rPr>
      </w:pPr>
      <w:bookmarkStart w:id="0" w:name="_Toc321926668"/>
      <w:bookmarkStart w:id="1" w:name="_Toc356504158"/>
      <w:bookmarkStart w:id="2" w:name="_Toc321927034"/>
      <w:bookmarkStart w:id="3" w:name="_Toc470776148"/>
      <w:bookmarkStart w:id="4" w:name="_Toc536788770"/>
      <w:bookmarkStart w:id="5" w:name="OLE_LINK2"/>
      <w:bookmarkStart w:id="11" w:name="_GoBack"/>
      <w:bookmarkEnd w:id="11"/>
      <w:r>
        <w:rPr>
          <w:rFonts w:hint="eastAsia" w:ascii="宋体" w:hAnsi="宋体"/>
          <w:color w:val="auto"/>
          <w:sz w:val="24"/>
          <w:highlight w:val="none"/>
        </w:rPr>
        <w:t>附件1：</w:t>
      </w:r>
      <w:bookmarkEnd w:id="0"/>
      <w:bookmarkEnd w:id="1"/>
      <w:bookmarkEnd w:id="2"/>
      <w:bookmarkStart w:id="6" w:name="_Toc356504159"/>
      <w:r>
        <w:rPr>
          <w:rFonts w:hint="eastAsia" w:ascii="宋体" w:hAnsi="宋体"/>
          <w:color w:val="auto"/>
          <w:sz w:val="24"/>
          <w:highlight w:val="none"/>
        </w:rPr>
        <w:t>资格审查要求</w:t>
      </w:r>
      <w:bookmarkEnd w:id="3"/>
      <w:bookmarkEnd w:id="4"/>
    </w:p>
    <w:bookmarkEnd w:id="5"/>
    <w:bookmarkEnd w:id="6"/>
    <w:p>
      <w:pPr>
        <w:pStyle w:val="5"/>
        <w:snapToGrid w:val="0"/>
        <w:spacing w:before="100" w:beforeAutospacing="1" w:after="100" w:afterAutospacing="1" w:line="240" w:lineRule="auto"/>
        <w:jc w:val="center"/>
        <w:rPr>
          <w:rFonts w:hint="eastAsia" w:ascii="宋体" w:hAnsi="宋体"/>
          <w:color w:val="auto"/>
          <w:sz w:val="24"/>
          <w:szCs w:val="24"/>
          <w:highlight w:val="none"/>
        </w:rPr>
      </w:pPr>
      <w:bookmarkStart w:id="7" w:name="_Toc536788771"/>
      <w:r>
        <w:rPr>
          <w:rFonts w:hint="eastAsia" w:ascii="宋体" w:hAnsi="宋体"/>
          <w:color w:val="auto"/>
          <w:sz w:val="24"/>
          <w:szCs w:val="24"/>
          <w:highlight w:val="none"/>
        </w:rPr>
        <w:t>附录1  资质审查条件（资质最低要求）</w:t>
      </w:r>
      <w:bookmarkEnd w:id="7"/>
    </w:p>
    <w:tbl>
      <w:tblPr>
        <w:tblStyle w:val="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7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8799" w:type="dxa"/>
            <w:noWrap w:val="0"/>
            <w:vAlign w:val="center"/>
          </w:tcPr>
          <w:p>
            <w:pPr>
              <w:jc w:val="center"/>
              <w:rPr>
                <w:rFonts w:hint="eastAsia" w:ascii="宋体" w:hAnsi="宋体"/>
                <w:color w:val="auto"/>
                <w:szCs w:val="21"/>
                <w:highlight w:val="none"/>
              </w:rPr>
            </w:pPr>
            <w:r>
              <w:rPr>
                <w:rFonts w:hint="eastAsia" w:ascii="宋体" w:hAnsi="宋体"/>
                <w:b/>
                <w:color w:val="auto"/>
                <w:szCs w:val="21"/>
                <w:highlight w:val="none"/>
              </w:rPr>
              <w:t>资质等级要求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9" w:hRule="atLeast"/>
          <w:jc w:val="center"/>
        </w:trPr>
        <w:tc>
          <w:tcPr>
            <w:tcW w:w="8799" w:type="dxa"/>
            <w:noWrap w:val="0"/>
            <w:vAlign w:val="center"/>
          </w:tcPr>
          <w:p>
            <w:pPr>
              <w:snapToGrid w:val="0"/>
              <w:spacing w:line="360" w:lineRule="auto"/>
              <w:ind w:left="108"/>
              <w:jc w:val="left"/>
              <w:rPr>
                <w:rFonts w:hint="eastAsia" w:ascii="宋体" w:hAnsi="宋体"/>
                <w:color w:val="auto"/>
                <w:highlight w:val="none"/>
              </w:rPr>
            </w:pPr>
            <w:r>
              <w:rPr>
                <w:rFonts w:hint="eastAsia" w:ascii="宋体" w:hAnsi="宋体" w:cs="宋体"/>
                <w:color w:val="auto"/>
                <w:highlight w:val="none"/>
              </w:rPr>
              <w:t>具有独立法人资格，持有有效的企业营业执照或事业单位法人证书；</w:t>
            </w:r>
          </w:p>
        </w:tc>
      </w:tr>
    </w:tbl>
    <w:p>
      <w:pPr>
        <w:pStyle w:val="5"/>
        <w:spacing w:line="240" w:lineRule="auto"/>
        <w:jc w:val="center"/>
        <w:rPr>
          <w:rFonts w:hint="eastAsia" w:ascii="宋体"/>
          <w:color w:val="auto"/>
          <w:sz w:val="24"/>
          <w:szCs w:val="24"/>
          <w:highlight w:val="none"/>
        </w:rPr>
      </w:pPr>
      <w:bookmarkStart w:id="8" w:name="_Toc536788772"/>
      <w:r>
        <w:rPr>
          <w:rFonts w:hint="eastAsia" w:ascii="宋体"/>
          <w:color w:val="auto"/>
          <w:sz w:val="24"/>
          <w:szCs w:val="24"/>
          <w:highlight w:val="none"/>
        </w:rPr>
        <w:t xml:space="preserve">附录2  资质审查条件（业绩最低要求）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29" w:type="dxa"/>
            <w:noWrap w:val="0"/>
            <w:vAlign w:val="center"/>
          </w:tcPr>
          <w:p>
            <w:pPr>
              <w:jc w:val="center"/>
              <w:rPr>
                <w:rFonts w:hint="eastAsia" w:ascii="宋体"/>
                <w:color w:val="auto"/>
                <w:szCs w:val="21"/>
                <w:highlight w:val="none"/>
              </w:rPr>
            </w:pPr>
            <w:r>
              <w:rPr>
                <w:rFonts w:hint="eastAsia" w:ascii="宋体" w:cs="宋体"/>
                <w:b/>
                <w:color w:val="auto"/>
                <w:kern w:val="0"/>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8829" w:type="dxa"/>
            <w:noWrap w:val="0"/>
            <w:vAlign w:val="center"/>
          </w:tcPr>
          <w:p>
            <w:pPr>
              <w:jc w:val="left"/>
              <w:rPr>
                <w:rFonts w:hint="eastAsia" w:ascii="宋体"/>
                <w:color w:val="auto"/>
                <w:szCs w:val="21"/>
                <w:highlight w:val="none"/>
              </w:rPr>
            </w:pPr>
            <w:r>
              <w:rPr>
                <w:rFonts w:hint="eastAsia" w:ascii="宋体"/>
                <w:color w:val="auto"/>
                <w:szCs w:val="21"/>
                <w:highlight w:val="none"/>
              </w:rPr>
              <w:t>近3年内(2019年10月1日至今，以合同签订时间为准）独立承担过1项</w:t>
            </w:r>
            <w:r>
              <w:rPr>
                <w:rFonts w:hint="eastAsia" w:ascii="宋体"/>
                <w:color w:val="auto"/>
                <w:szCs w:val="21"/>
                <w:highlight w:val="none"/>
                <w:lang w:val="en-US" w:eastAsia="zh-CN"/>
              </w:rPr>
              <w:t>合同金额</w:t>
            </w:r>
            <w:r>
              <w:rPr>
                <w:rFonts w:hint="eastAsia" w:ascii="宋体"/>
                <w:color w:val="auto"/>
                <w:szCs w:val="21"/>
                <w:highlight w:val="none"/>
              </w:rPr>
              <w:t>10万元（含10万元）以上的水土保持或环境保护（影响）相关报告编制业绩。</w:t>
            </w:r>
          </w:p>
        </w:tc>
      </w:tr>
      <w:bookmarkEnd w:id="8"/>
    </w:tbl>
    <w:p>
      <w:pPr>
        <w:pStyle w:val="5"/>
        <w:spacing w:line="240" w:lineRule="auto"/>
        <w:jc w:val="center"/>
        <w:rPr>
          <w:rFonts w:hint="eastAsia" w:ascii="宋体" w:hAnsi="宋体"/>
          <w:color w:val="auto"/>
          <w:sz w:val="24"/>
          <w:szCs w:val="24"/>
          <w:highlight w:val="none"/>
        </w:rPr>
      </w:pPr>
      <w:bookmarkStart w:id="9" w:name="_Toc536788773"/>
    </w:p>
    <w:p>
      <w:pPr>
        <w:pStyle w:val="5"/>
        <w:spacing w:line="240" w:lineRule="auto"/>
        <w:jc w:val="center"/>
        <w:rPr>
          <w:rFonts w:hint="eastAsia" w:ascii="宋体" w:hAnsi="宋体"/>
          <w:color w:val="auto"/>
          <w:highlight w:val="none"/>
        </w:rPr>
      </w:pPr>
      <w:r>
        <w:rPr>
          <w:rFonts w:hint="eastAsia" w:ascii="宋体" w:hAnsi="宋体"/>
          <w:color w:val="auto"/>
          <w:sz w:val="24"/>
          <w:szCs w:val="24"/>
          <w:highlight w:val="none"/>
        </w:rPr>
        <w:t>附录3  资质审查条件（信誉最低要求）</w:t>
      </w:r>
      <w:bookmarkEnd w:id="9"/>
      <w:r>
        <w:rPr>
          <w:rFonts w:hint="eastAsia" w:ascii="宋体" w:hAnsi="宋体"/>
          <w:color w:val="auto"/>
          <w:sz w:val="24"/>
          <w:szCs w:val="24"/>
          <w:highlight w:val="none"/>
        </w:rPr>
        <w:t xml:space="preserve"> </w:t>
      </w:r>
      <w:r>
        <w:rPr>
          <w:rFonts w:hint="eastAsia" w:ascii="宋体" w:hAnsi="宋体"/>
          <w:b w:val="0"/>
          <w:color w:val="auto"/>
          <w:sz w:val="24"/>
          <w:highlight w:val="none"/>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818" w:type="dxa"/>
            <w:noWrap w:val="0"/>
            <w:vAlign w:val="center"/>
          </w:tcPr>
          <w:p>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818" w:type="dxa"/>
            <w:vMerge w:val="restart"/>
            <w:noWrap w:val="0"/>
            <w:vAlign w:val="center"/>
          </w:tcPr>
          <w:p>
            <w:pPr>
              <w:adjustRightInd w:val="0"/>
              <w:snapToGrid w:val="0"/>
              <w:spacing w:line="276" w:lineRule="auto"/>
              <w:jc w:val="left"/>
              <w:rPr>
                <w:rFonts w:hint="eastAsia" w:ascii="宋体" w:hAnsi="宋体"/>
                <w:color w:val="auto"/>
                <w:szCs w:val="21"/>
                <w:highlight w:val="none"/>
              </w:rPr>
            </w:pPr>
            <w:r>
              <w:rPr>
                <w:rFonts w:hint="eastAsia" w:ascii="宋体" w:hAnsi="宋体"/>
                <w:color w:val="auto"/>
                <w:szCs w:val="21"/>
                <w:highlight w:val="none"/>
              </w:rPr>
              <w:t>投标人过去1年（2021年</w:t>
            </w:r>
            <w:r>
              <w:rPr>
                <w:rFonts w:hint="eastAsia" w:ascii="宋体" w:hAnsi="宋体"/>
                <w:color w:val="auto"/>
                <w:szCs w:val="21"/>
                <w:highlight w:val="none"/>
                <w:lang w:eastAsia="zh-CN"/>
              </w:rPr>
              <w:t>10月</w:t>
            </w:r>
            <w:r>
              <w:rPr>
                <w:rFonts w:hint="eastAsia" w:ascii="宋体" w:hAnsi="宋体"/>
                <w:color w:val="auto"/>
                <w:szCs w:val="21"/>
                <w:highlight w:val="none"/>
              </w:rPr>
              <w:t>1日至今）中不曾在高速公路</w:t>
            </w:r>
            <w:r>
              <w:rPr>
                <w:rFonts w:hint="eastAsia"/>
                <w:color w:val="auto"/>
                <w:highlight w:val="none"/>
                <w:lang w:val="en-US" w:eastAsia="zh-CN"/>
              </w:rPr>
              <w:t>项目</w:t>
            </w:r>
            <w:r>
              <w:rPr>
                <w:rFonts w:hint="eastAsia" w:ascii="宋体" w:hAnsi="宋体"/>
                <w:color w:val="auto"/>
                <w:szCs w:val="21"/>
                <w:highlight w:val="none"/>
              </w:rPr>
              <w:t>中违约而被驱逐或因投标人自身的原因而使高速公路合同被解除。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18" w:type="dxa"/>
            <w:vMerge w:val="continue"/>
            <w:noWrap w:val="0"/>
            <w:vAlign w:val="center"/>
          </w:tcPr>
          <w:p>
            <w:pPr>
              <w:rPr>
                <w:rFonts w:ascii="宋体" w:hAnsi="宋体"/>
                <w:color w:val="auto"/>
                <w:highlight w:val="none"/>
              </w:rPr>
            </w:pPr>
          </w:p>
        </w:tc>
      </w:tr>
    </w:tbl>
    <w:p>
      <w:pPr>
        <w:rPr>
          <w:rFonts w:ascii="宋体" w:hAnsi="宋体"/>
          <w:b/>
          <w:color w:val="auto"/>
          <w:sz w:val="24"/>
          <w:highlight w:val="none"/>
        </w:rPr>
      </w:pPr>
      <w:bookmarkStart w:id="10" w:name="_Toc470776154"/>
    </w:p>
    <w:p>
      <w:pPr>
        <w:adjustRightInd w:val="0"/>
        <w:snapToGrid w:val="0"/>
        <w:spacing w:line="360" w:lineRule="auto"/>
        <w:jc w:val="center"/>
        <w:rPr>
          <w:rFonts w:ascii="宋体" w:hAnsi="宋体"/>
          <w:b/>
          <w:color w:val="auto"/>
          <w:sz w:val="24"/>
          <w:highlight w:val="none"/>
        </w:rPr>
      </w:pPr>
      <w:r>
        <w:rPr>
          <w:rFonts w:hint="eastAsia" w:ascii="宋体" w:hAnsi="宋体"/>
          <w:b/>
          <w:color w:val="auto"/>
          <w:sz w:val="24"/>
          <w:highlight w:val="none"/>
        </w:rPr>
        <w:t xml:space="preserve">附录4 资格审查条件（项目负责人最低要求） </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3"/>
        <w:gridCol w:w="992"/>
        <w:gridCol w:w="6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383" w:type="dxa"/>
            <w:noWrap w:val="0"/>
            <w:vAlign w:val="center"/>
          </w:tcPr>
          <w:p>
            <w:pPr>
              <w:pStyle w:val="7"/>
              <w:spacing w:before="0" w:beforeAutospacing="0" w:after="0" w:afterAutospacing="0"/>
              <w:contextualSpacing/>
              <w:jc w:val="center"/>
              <w:rPr>
                <w:rFonts w:hAnsi="宋体"/>
                <w:color w:val="auto"/>
                <w:sz w:val="21"/>
                <w:szCs w:val="21"/>
                <w:highlight w:val="none"/>
              </w:rPr>
            </w:pPr>
            <w:r>
              <w:rPr>
                <w:rFonts w:hint="eastAsia" w:hAnsi="宋体"/>
                <w:color w:val="auto"/>
                <w:sz w:val="21"/>
                <w:szCs w:val="21"/>
                <w:highlight w:val="none"/>
              </w:rPr>
              <w:t>人   员</w:t>
            </w:r>
          </w:p>
        </w:tc>
        <w:tc>
          <w:tcPr>
            <w:tcW w:w="992" w:type="dxa"/>
            <w:noWrap w:val="0"/>
            <w:vAlign w:val="center"/>
          </w:tcPr>
          <w:p>
            <w:pPr>
              <w:pStyle w:val="7"/>
              <w:spacing w:before="0" w:beforeAutospacing="0" w:after="0" w:afterAutospacing="0"/>
              <w:contextualSpacing/>
              <w:jc w:val="center"/>
              <w:rPr>
                <w:rFonts w:hAnsi="宋体"/>
                <w:color w:val="auto"/>
                <w:sz w:val="21"/>
                <w:szCs w:val="21"/>
                <w:highlight w:val="none"/>
              </w:rPr>
            </w:pPr>
            <w:r>
              <w:rPr>
                <w:rFonts w:hint="eastAsia" w:hAnsi="宋体"/>
                <w:color w:val="auto"/>
                <w:sz w:val="21"/>
                <w:szCs w:val="21"/>
                <w:highlight w:val="none"/>
              </w:rPr>
              <w:t>数量</w:t>
            </w:r>
          </w:p>
        </w:tc>
        <w:tc>
          <w:tcPr>
            <w:tcW w:w="6452" w:type="dxa"/>
            <w:noWrap w:val="0"/>
            <w:vAlign w:val="center"/>
          </w:tcPr>
          <w:p>
            <w:pPr>
              <w:pStyle w:val="7"/>
              <w:spacing w:before="0" w:beforeAutospacing="0" w:after="0" w:afterAutospacing="0"/>
              <w:contextualSpacing/>
              <w:jc w:val="center"/>
              <w:rPr>
                <w:rFonts w:hAnsi="宋体"/>
                <w:color w:val="auto"/>
                <w:sz w:val="21"/>
                <w:szCs w:val="21"/>
                <w:highlight w:val="none"/>
              </w:rPr>
            </w:pPr>
            <w:r>
              <w:rPr>
                <w:rFonts w:hint="eastAsia" w:hAnsi="宋体"/>
                <w:color w:val="auto"/>
                <w:sz w:val="21"/>
                <w:szCs w:val="21"/>
                <w:highlight w:val="none"/>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atLeast"/>
          <w:jc w:val="center"/>
        </w:trPr>
        <w:tc>
          <w:tcPr>
            <w:tcW w:w="1383"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项目负责人</w:t>
            </w:r>
          </w:p>
        </w:tc>
        <w:tc>
          <w:tcPr>
            <w:tcW w:w="99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6452" w:type="dxa"/>
            <w:noWrap w:val="0"/>
            <w:vAlign w:val="center"/>
          </w:tcPr>
          <w:p>
            <w:pPr>
              <w:jc w:val="left"/>
              <w:rPr>
                <w:rFonts w:ascii="宋体" w:hAnsi="宋体"/>
                <w:color w:val="auto"/>
                <w:szCs w:val="21"/>
                <w:highlight w:val="none"/>
              </w:rPr>
            </w:pPr>
            <w:r>
              <w:rPr>
                <w:rFonts w:hint="eastAsia" w:ascii="宋体" w:hAnsi="宋体"/>
                <w:color w:val="auto"/>
                <w:szCs w:val="21"/>
                <w:highlight w:val="none"/>
              </w:rPr>
              <w:t>高级职称，</w:t>
            </w:r>
            <w:r>
              <w:rPr>
                <w:rFonts w:hint="eastAsia" w:ascii="宋体"/>
                <w:color w:val="auto"/>
                <w:szCs w:val="21"/>
                <w:highlight w:val="none"/>
              </w:rPr>
              <w:t>近</w:t>
            </w:r>
            <w:r>
              <w:rPr>
                <w:rFonts w:hint="eastAsia" w:ascii="宋体"/>
                <w:color w:val="auto"/>
                <w:szCs w:val="21"/>
                <w:highlight w:val="none"/>
                <w:lang w:val="en-US" w:eastAsia="zh-CN"/>
              </w:rPr>
              <w:t>3</w:t>
            </w:r>
            <w:r>
              <w:rPr>
                <w:rFonts w:hint="eastAsia" w:ascii="宋体"/>
                <w:color w:val="auto"/>
                <w:szCs w:val="21"/>
                <w:highlight w:val="none"/>
              </w:rPr>
              <w:t>年内(201</w:t>
            </w:r>
            <w:r>
              <w:rPr>
                <w:rFonts w:hint="eastAsia" w:ascii="宋体"/>
                <w:color w:val="auto"/>
                <w:szCs w:val="21"/>
                <w:highlight w:val="none"/>
                <w:lang w:val="en-US" w:eastAsia="zh-CN"/>
              </w:rPr>
              <w:t>9</w:t>
            </w:r>
            <w:r>
              <w:rPr>
                <w:rFonts w:hint="eastAsia" w:ascii="宋体"/>
                <w:color w:val="auto"/>
                <w:szCs w:val="21"/>
                <w:highlight w:val="none"/>
              </w:rPr>
              <w:t>年</w:t>
            </w:r>
            <w:r>
              <w:rPr>
                <w:rFonts w:hint="eastAsia" w:ascii="宋体"/>
                <w:color w:val="auto"/>
                <w:szCs w:val="21"/>
                <w:highlight w:val="none"/>
                <w:lang w:eastAsia="zh-CN"/>
              </w:rPr>
              <w:t>10月</w:t>
            </w:r>
            <w:r>
              <w:rPr>
                <w:rFonts w:hint="eastAsia" w:ascii="宋体"/>
                <w:color w:val="auto"/>
                <w:szCs w:val="21"/>
                <w:highlight w:val="none"/>
              </w:rPr>
              <w:t>1日至今，以合同签订时间为准）</w:t>
            </w:r>
            <w:r>
              <w:rPr>
                <w:rFonts w:hint="eastAsia" w:ascii="宋体" w:hAnsi="宋体"/>
                <w:color w:val="auto"/>
                <w:szCs w:val="21"/>
                <w:highlight w:val="none"/>
              </w:rPr>
              <w:t>，至少担任过一项</w:t>
            </w:r>
            <w:r>
              <w:rPr>
                <w:rFonts w:hint="eastAsia" w:ascii="宋体" w:hAnsi="宋体"/>
                <w:color w:val="auto"/>
                <w:szCs w:val="21"/>
                <w:highlight w:val="none"/>
                <w:lang w:val="en-US" w:eastAsia="zh-CN"/>
              </w:rPr>
              <w:t>合同金额</w:t>
            </w:r>
            <w:r>
              <w:rPr>
                <w:rFonts w:hint="eastAsia" w:ascii="宋体"/>
                <w:color w:val="auto"/>
                <w:szCs w:val="21"/>
                <w:highlight w:val="none"/>
                <w:lang w:val="en-US" w:eastAsia="zh-CN"/>
              </w:rPr>
              <w:t>10万元（含10万元）</w:t>
            </w:r>
            <w:r>
              <w:rPr>
                <w:rFonts w:hint="eastAsia" w:ascii="宋体"/>
                <w:color w:val="auto"/>
                <w:szCs w:val="21"/>
                <w:highlight w:val="none"/>
              </w:rPr>
              <w:t>以上的水土保持或环境保护（影响）相关报告编制项目</w:t>
            </w:r>
            <w:r>
              <w:rPr>
                <w:rFonts w:hint="eastAsia" w:ascii="宋体" w:hAnsi="宋体"/>
                <w:color w:val="auto"/>
                <w:szCs w:val="21"/>
                <w:highlight w:val="none"/>
              </w:rPr>
              <w:t>的项目负责人。</w:t>
            </w:r>
          </w:p>
        </w:tc>
      </w:tr>
    </w:tbl>
    <w:p>
      <w:pPr>
        <w:adjustRightInd w:val="0"/>
        <w:snapToGrid w:val="0"/>
        <w:spacing w:line="360" w:lineRule="auto"/>
        <w:rPr>
          <w:rFonts w:hint="eastAsia" w:ascii="宋体" w:hAnsi="宋体" w:eastAsia="宋体" w:cs="宋体"/>
          <w:b w:val="0"/>
          <w:bCs/>
          <w:color w:val="auto"/>
          <w:sz w:val="24"/>
          <w:szCs w:val="24"/>
          <w:highlight w:val="none"/>
          <w:lang w:val="en-US" w:eastAsia="zh-CN"/>
        </w:rPr>
      </w:pPr>
      <w:r>
        <w:rPr>
          <w:rFonts w:ascii="宋体" w:hAnsi="宋体"/>
          <w:b/>
          <w:color w:val="auto"/>
          <w:sz w:val="24"/>
          <w:highlight w:val="none"/>
        </w:rPr>
        <w:br w:type="page"/>
      </w:r>
      <w:bookmarkEnd w:id="10"/>
      <w:r>
        <w:rPr>
          <w:rFonts w:hint="eastAsia" w:ascii="宋体" w:hAnsi="宋体" w:eastAsia="宋体" w:cs="宋体"/>
          <w:b w:val="0"/>
          <w:bCs/>
          <w:color w:val="auto"/>
          <w:sz w:val="24"/>
          <w:szCs w:val="24"/>
          <w:highlight w:val="none"/>
          <w:lang w:val="en-US" w:eastAsia="zh-CN"/>
        </w:rPr>
        <w:t>附件2：评标办法</w:t>
      </w:r>
    </w:p>
    <w:p>
      <w:pPr>
        <w:pStyle w:val="11"/>
        <w:spacing w:line="276" w:lineRule="auto"/>
        <w:jc w:val="both"/>
        <w:rPr>
          <w:rFonts w:ascii="宋体" w:hAnsi="宋体" w:eastAsia="宋体"/>
          <w:color w:val="auto"/>
          <w:sz w:val="24"/>
          <w:szCs w:val="30"/>
          <w:highlight w:val="none"/>
        </w:rPr>
      </w:pPr>
      <w:r>
        <w:rPr>
          <w:rFonts w:hint="eastAsia" w:ascii="宋体" w:hAnsi="宋体" w:eastAsia="宋体"/>
          <w:color w:val="auto"/>
          <w:sz w:val="24"/>
          <w:szCs w:val="30"/>
          <w:highlight w:val="none"/>
        </w:rPr>
        <w:t>评标办法前附表</w:t>
      </w:r>
    </w:p>
    <w:tbl>
      <w:tblPr>
        <w:tblStyle w:val="8"/>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52"/>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41" w:type="dxa"/>
            <w:noWrap w:val="0"/>
            <w:vAlign w:val="center"/>
          </w:tcPr>
          <w:p>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052" w:type="dxa"/>
            <w:noWrap w:val="0"/>
            <w:vAlign w:val="center"/>
          </w:tcPr>
          <w:p>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条款名称</w:t>
            </w:r>
          </w:p>
        </w:tc>
        <w:tc>
          <w:tcPr>
            <w:tcW w:w="7250" w:type="dxa"/>
            <w:noWrap w:val="0"/>
            <w:vAlign w:val="center"/>
          </w:tcPr>
          <w:p>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41" w:type="dxa"/>
            <w:noWrap w:val="0"/>
            <w:vAlign w:val="center"/>
          </w:tcPr>
          <w:p>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52" w:type="dxa"/>
            <w:noWrap w:val="0"/>
            <w:vAlign w:val="center"/>
          </w:tcPr>
          <w:p>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评标办法</w:t>
            </w:r>
          </w:p>
        </w:tc>
        <w:tc>
          <w:tcPr>
            <w:tcW w:w="7250" w:type="dxa"/>
            <w:noWrap w:val="0"/>
            <w:vAlign w:val="center"/>
          </w:tcPr>
          <w:p>
            <w:pPr>
              <w:snapToGrid w:val="0"/>
              <w:spacing w:line="320" w:lineRule="exact"/>
              <w:ind w:firstLine="404" w:firstLineChars="200"/>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本次评标采用综合</w:t>
            </w:r>
            <w:r>
              <w:rPr>
                <w:rFonts w:hint="eastAsia" w:ascii="宋体" w:hAnsi="宋体" w:cs="宋体"/>
                <w:color w:val="auto"/>
                <w:spacing w:val="-4"/>
                <w:szCs w:val="21"/>
                <w:highlight w:val="none"/>
                <w:lang w:eastAsia="zh-CN"/>
              </w:rPr>
              <w:t>评分法</w:t>
            </w:r>
            <w:r>
              <w:rPr>
                <w:rFonts w:hint="eastAsia" w:ascii="宋体" w:hAnsi="宋体" w:cs="宋体"/>
                <w:color w:val="auto"/>
                <w:spacing w:val="-4"/>
                <w:szCs w:val="21"/>
                <w:highlight w:val="none"/>
              </w:rPr>
              <w:t>，评标委员会对满足招标文件实质性要求的投标文件，按照本章第2.2款规定的评分标准进行打分，并按得分由高到低顺序推荐1-3名中标候选人，当综合评分相等时，评标委员会依次按照以下优先顺序推荐中标候选人：</w:t>
            </w:r>
          </w:p>
          <w:p>
            <w:pPr>
              <w:snapToGrid w:val="0"/>
              <w:spacing w:line="320" w:lineRule="exact"/>
              <w:ind w:left="205" w:leftChars="97" w:hanging="1"/>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（1）评标价低的投标人优先；</w:t>
            </w:r>
          </w:p>
          <w:p>
            <w:pPr>
              <w:snapToGrid w:val="0"/>
              <w:spacing w:line="320" w:lineRule="exact"/>
              <w:ind w:left="205" w:leftChars="97" w:hanging="1"/>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（2）技术建议书得分较高的投标人优先；</w:t>
            </w:r>
          </w:p>
          <w:p>
            <w:pPr>
              <w:snapToGrid w:val="0"/>
              <w:spacing w:line="320" w:lineRule="exact"/>
              <w:ind w:left="205" w:leftChars="97" w:hanging="1"/>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（3）投标人近</w:t>
            </w:r>
            <w:r>
              <w:rPr>
                <w:rFonts w:hint="eastAsia" w:ascii="宋体" w:hAnsi="宋体" w:cs="宋体"/>
                <w:color w:val="auto"/>
                <w:spacing w:val="-4"/>
                <w:szCs w:val="21"/>
                <w:highlight w:val="none"/>
                <w:lang w:val="en-US" w:eastAsia="zh-CN"/>
              </w:rPr>
              <w:t>3</w:t>
            </w:r>
            <w:r>
              <w:rPr>
                <w:rFonts w:hint="eastAsia" w:ascii="宋体" w:hAnsi="宋体" w:cs="宋体"/>
                <w:color w:val="auto"/>
                <w:spacing w:val="-4"/>
                <w:szCs w:val="21"/>
                <w:highlight w:val="none"/>
              </w:rPr>
              <w:t>年内满足资格审查条件(业绩最低条件)要求的业绩累计合同金额高的优先。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41" w:type="dxa"/>
            <w:noWrap w:val="0"/>
            <w:vAlign w:val="center"/>
          </w:tcPr>
          <w:p>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p>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052" w:type="dxa"/>
            <w:noWrap w:val="0"/>
            <w:vAlign w:val="center"/>
          </w:tcPr>
          <w:p>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形式评审与响应性评审标准</w:t>
            </w:r>
          </w:p>
        </w:tc>
        <w:tc>
          <w:tcPr>
            <w:tcW w:w="7250" w:type="dxa"/>
            <w:noWrap w:val="0"/>
            <w:vAlign w:val="top"/>
          </w:tcPr>
          <w:p>
            <w:pPr>
              <w:tabs>
                <w:tab w:val="left" w:pos="3060"/>
              </w:tabs>
              <w:snapToGrid w:val="0"/>
              <w:spacing w:line="320" w:lineRule="exact"/>
              <w:rPr>
                <w:rFonts w:hint="eastAsia" w:ascii="宋体" w:hAnsi="宋体" w:cs="宋体"/>
                <w:b/>
                <w:color w:val="auto"/>
                <w:szCs w:val="21"/>
                <w:highlight w:val="none"/>
              </w:rPr>
            </w:pPr>
            <w:r>
              <w:rPr>
                <w:rFonts w:hint="eastAsia" w:ascii="宋体" w:hAnsi="宋体" w:cs="宋体"/>
                <w:b/>
                <w:color w:val="auto"/>
                <w:szCs w:val="21"/>
                <w:highlight w:val="none"/>
              </w:rPr>
              <w:t>第一个信封（商务及技术文件）评审标准:</w:t>
            </w:r>
          </w:p>
          <w:p>
            <w:pPr>
              <w:tabs>
                <w:tab w:val="left" w:pos="3060"/>
              </w:tabs>
              <w:snapToGrid w:val="0"/>
              <w:spacing w:line="320" w:lineRule="exact"/>
              <w:ind w:firstLine="210" w:firstLineChars="100"/>
              <w:rPr>
                <w:rFonts w:hint="eastAsia" w:ascii="宋体" w:hAnsi="宋体" w:cs="宋体"/>
                <w:bCs/>
                <w:color w:val="auto"/>
                <w:szCs w:val="21"/>
                <w:highlight w:val="none"/>
              </w:rPr>
            </w:pPr>
            <w:r>
              <w:rPr>
                <w:rFonts w:hint="eastAsia" w:ascii="宋体" w:hAnsi="宋体" w:cs="宋体"/>
                <w:bCs/>
                <w:color w:val="auto"/>
                <w:szCs w:val="21"/>
                <w:highlight w:val="none"/>
              </w:rPr>
              <w:t>（1）投标文件按照招标文件规定的格式、内容填写，字迹清晰可辨：</w:t>
            </w:r>
          </w:p>
          <w:p>
            <w:pPr>
              <w:tabs>
                <w:tab w:val="left" w:pos="3060"/>
              </w:tabs>
              <w:snapToGrid w:val="0"/>
              <w:spacing w:line="320" w:lineRule="exact"/>
              <w:ind w:firstLine="210" w:firstLineChars="100"/>
              <w:rPr>
                <w:rFonts w:hint="eastAsia" w:ascii="宋体" w:hAnsi="宋体" w:cs="宋体"/>
                <w:bCs/>
                <w:color w:val="auto"/>
                <w:szCs w:val="21"/>
                <w:highlight w:val="none"/>
              </w:rPr>
            </w:pPr>
            <w:r>
              <w:rPr>
                <w:rFonts w:hint="eastAsia" w:ascii="宋体" w:hAnsi="宋体" w:cs="宋体"/>
                <w:bCs/>
                <w:color w:val="auto"/>
                <w:szCs w:val="21"/>
                <w:highlight w:val="none"/>
              </w:rPr>
              <w:t>a.投标函按招标文件规定填报了项目名称、质量要求、服务期限及项目负责人信息；</w:t>
            </w:r>
          </w:p>
          <w:p>
            <w:pPr>
              <w:tabs>
                <w:tab w:val="left" w:pos="3060"/>
              </w:tabs>
              <w:snapToGrid w:val="0"/>
              <w:spacing w:line="320" w:lineRule="exact"/>
              <w:ind w:firstLine="210" w:firstLineChars="100"/>
              <w:rPr>
                <w:rFonts w:hint="eastAsia" w:ascii="宋体" w:hAnsi="宋体" w:cs="宋体"/>
                <w:bCs/>
                <w:color w:val="auto"/>
                <w:szCs w:val="21"/>
                <w:highlight w:val="none"/>
              </w:rPr>
            </w:pPr>
            <w:r>
              <w:rPr>
                <w:rFonts w:hint="eastAsia" w:ascii="宋体" w:hAnsi="宋体" w:cs="宋体"/>
                <w:bCs/>
                <w:color w:val="auto"/>
                <w:szCs w:val="21"/>
                <w:highlight w:val="none"/>
              </w:rPr>
              <w:t>b.投标文件组成齐全完整，内容均按规定填写。</w:t>
            </w:r>
          </w:p>
          <w:p>
            <w:pPr>
              <w:tabs>
                <w:tab w:val="left" w:pos="3060"/>
              </w:tabs>
              <w:snapToGrid w:val="0"/>
              <w:spacing w:line="320" w:lineRule="exact"/>
              <w:ind w:firstLine="210" w:firstLineChars="100"/>
              <w:rPr>
                <w:rFonts w:hint="eastAsia" w:ascii="宋体" w:hAnsi="宋体" w:cs="宋体"/>
                <w:bCs/>
                <w:color w:val="auto"/>
                <w:szCs w:val="21"/>
                <w:highlight w:val="none"/>
              </w:rPr>
            </w:pPr>
            <w:r>
              <w:rPr>
                <w:rFonts w:hint="eastAsia" w:ascii="宋体" w:hAnsi="宋体" w:cs="宋体"/>
                <w:bCs/>
                <w:color w:val="auto"/>
                <w:szCs w:val="21"/>
                <w:highlight w:val="none"/>
              </w:rPr>
              <w:t>（2）投标文件上法定代表人或其授权代理人的签字、投标人的单位章盖章齐全，符合招标文件规定。</w:t>
            </w:r>
          </w:p>
          <w:p>
            <w:pPr>
              <w:tabs>
                <w:tab w:val="left" w:pos="3060"/>
              </w:tabs>
              <w:snapToGrid w:val="0"/>
              <w:spacing w:line="32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（3）投标人按照招标文件的规定提供了投标保证金：</w:t>
            </w:r>
          </w:p>
          <w:p>
            <w:pPr>
              <w:tabs>
                <w:tab w:val="left" w:pos="3060"/>
              </w:tabs>
              <w:snapToGrid w:val="0"/>
              <w:spacing w:line="32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a.投标保证金金额符合招标文件规定的金额，且投标保证金有效期不少于投标有效期；</w:t>
            </w:r>
          </w:p>
          <w:p>
            <w:pPr>
              <w:tabs>
                <w:tab w:val="left" w:pos="3060"/>
              </w:tabs>
              <w:snapToGrid w:val="0"/>
              <w:spacing w:line="32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b.若投标保证金采用电汇或转账形式提交，投标人应在递交投标文件截止时间之前，将投标保证金由投标人的基本账户转入招标人指定账户；</w:t>
            </w:r>
          </w:p>
          <w:p>
            <w:pPr>
              <w:tabs>
                <w:tab w:val="left" w:pos="3060"/>
              </w:tabs>
              <w:snapToGrid w:val="0"/>
              <w:spacing w:line="32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c.若投标保证金采用银行保函形式提交，银行保函的格式、开具保函的银行均满足招标文件要求，且在递交投标文件截止时间之前向招标人提交了银行保函原件。</w:t>
            </w:r>
          </w:p>
          <w:p>
            <w:pPr>
              <w:tabs>
                <w:tab w:val="left" w:pos="3060"/>
              </w:tabs>
              <w:snapToGrid w:val="0"/>
              <w:spacing w:line="32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（4）投标人法定代表人授权委托代理人签署投标文件的，须提交授权委托书，授权委托书的签字盖章符合招标文件规定，授权委托书只能授权给一名委托代理人。</w:t>
            </w:r>
          </w:p>
          <w:p>
            <w:pPr>
              <w:tabs>
                <w:tab w:val="left" w:pos="3060"/>
              </w:tabs>
              <w:snapToGrid w:val="0"/>
              <w:spacing w:line="32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（5）投标人法定代表人亲自签署投标文件的，提供了法定代表人身份证明，法定代表人身份证明的签字盖章符合招标文件规定。</w:t>
            </w:r>
          </w:p>
          <w:p>
            <w:pPr>
              <w:tabs>
                <w:tab w:val="left" w:pos="3060"/>
              </w:tabs>
              <w:snapToGrid w:val="0"/>
              <w:spacing w:line="32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（6）投标人未以联合体形式投标。</w:t>
            </w:r>
          </w:p>
          <w:p>
            <w:pPr>
              <w:tabs>
                <w:tab w:val="left" w:pos="3060"/>
              </w:tabs>
              <w:snapToGrid w:val="0"/>
              <w:spacing w:line="32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（7）投标人未对本项目提出分包计划。</w:t>
            </w:r>
          </w:p>
          <w:p>
            <w:pPr>
              <w:tabs>
                <w:tab w:val="left" w:pos="3060"/>
              </w:tabs>
              <w:snapToGrid w:val="0"/>
              <w:spacing w:line="32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（8）同一投标人未提交两个以上不同的投标文件。</w:t>
            </w:r>
          </w:p>
          <w:p>
            <w:pPr>
              <w:tabs>
                <w:tab w:val="left" w:pos="3060"/>
              </w:tabs>
              <w:snapToGrid w:val="0"/>
              <w:spacing w:line="32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（9）投标文件第一信封中未出现有关投标报价的内容。</w:t>
            </w:r>
          </w:p>
          <w:p>
            <w:pPr>
              <w:tabs>
                <w:tab w:val="left" w:pos="3060"/>
              </w:tabs>
              <w:snapToGrid w:val="0"/>
              <w:spacing w:line="32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（10）投标文件载明的招标项目完成期限未超过招标文件规定的时限。</w:t>
            </w:r>
          </w:p>
          <w:p>
            <w:pPr>
              <w:tabs>
                <w:tab w:val="left" w:pos="3060"/>
              </w:tabs>
              <w:snapToGrid w:val="0"/>
              <w:spacing w:line="32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（11）投标文件对招标文件的实质性要求和条件作出响应。</w:t>
            </w:r>
          </w:p>
          <w:p>
            <w:pPr>
              <w:tabs>
                <w:tab w:val="left" w:pos="3060"/>
              </w:tabs>
              <w:snapToGrid w:val="0"/>
              <w:spacing w:line="32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（12）权利义务符合招标文件规定：</w:t>
            </w:r>
          </w:p>
          <w:p>
            <w:pPr>
              <w:tabs>
                <w:tab w:val="left" w:pos="3060"/>
              </w:tabs>
              <w:snapToGrid w:val="0"/>
              <w:spacing w:line="32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a.投标人应接受招标文件规定的风险划分原则，未提出新的风险划分办法；</w:t>
            </w:r>
          </w:p>
          <w:p>
            <w:pPr>
              <w:tabs>
                <w:tab w:val="left" w:pos="3060"/>
              </w:tabs>
              <w:snapToGrid w:val="0"/>
              <w:spacing w:line="32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b.投标人未增加招标人的责任范围，或减少投标人义务；</w:t>
            </w:r>
          </w:p>
          <w:p>
            <w:pPr>
              <w:tabs>
                <w:tab w:val="left" w:pos="3060"/>
              </w:tabs>
              <w:snapToGrid w:val="0"/>
              <w:spacing w:line="32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c.投标人未提出不同的支付办法；</w:t>
            </w:r>
          </w:p>
          <w:p>
            <w:pPr>
              <w:tabs>
                <w:tab w:val="left" w:pos="3060"/>
              </w:tabs>
              <w:snapToGrid w:val="0"/>
              <w:spacing w:line="32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d.投标人对合同纠纷、事故处理办法未提出异议；</w:t>
            </w:r>
          </w:p>
          <w:p>
            <w:pPr>
              <w:tabs>
                <w:tab w:val="left" w:pos="3060"/>
              </w:tabs>
              <w:snapToGrid w:val="0"/>
              <w:spacing w:line="32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e.投标人在投标活动中无欺诈行为；</w:t>
            </w:r>
          </w:p>
          <w:p>
            <w:pPr>
              <w:tabs>
                <w:tab w:val="left" w:pos="3060"/>
              </w:tabs>
              <w:snapToGrid w:val="0"/>
              <w:spacing w:line="32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f.投标人未对合同条款有重要保留。</w:t>
            </w:r>
          </w:p>
          <w:p>
            <w:pPr>
              <w:tabs>
                <w:tab w:val="left" w:pos="3060"/>
              </w:tabs>
              <w:snapToGrid w:val="0"/>
              <w:spacing w:line="32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(13)投标人名称与营业执照、基本账户开户许可证（或基本存款账户信息）一致，如企业名称有变更的，应提供其变更记录或相关部门的合法批件复印件。</w:t>
            </w:r>
          </w:p>
          <w:p>
            <w:pPr>
              <w:tabs>
                <w:tab w:val="left" w:pos="3060"/>
              </w:tabs>
              <w:snapToGrid w:val="0"/>
              <w:spacing w:line="320" w:lineRule="exact"/>
              <w:rPr>
                <w:rFonts w:hint="eastAsia" w:ascii="宋体" w:hAnsi="宋体" w:cs="宋体"/>
                <w:b/>
                <w:color w:val="auto"/>
                <w:szCs w:val="21"/>
                <w:highlight w:val="none"/>
              </w:rPr>
            </w:pPr>
            <w:r>
              <w:rPr>
                <w:rFonts w:hint="eastAsia" w:ascii="宋体" w:hAnsi="宋体" w:cs="宋体"/>
                <w:b/>
                <w:color w:val="auto"/>
                <w:szCs w:val="21"/>
                <w:highlight w:val="none"/>
              </w:rPr>
              <w:t>第二个信封（报价文件）评审标准：</w:t>
            </w:r>
          </w:p>
          <w:p>
            <w:pPr>
              <w:tabs>
                <w:tab w:val="left" w:pos="3060"/>
              </w:tabs>
              <w:snapToGrid w:val="0"/>
              <w:spacing w:line="320" w:lineRule="exact"/>
              <w:ind w:firstLine="205" w:firstLineChars="98"/>
              <w:rPr>
                <w:rFonts w:hint="eastAsia" w:ascii="宋体" w:hAnsi="宋体" w:cs="宋体"/>
                <w:bCs/>
                <w:color w:val="auto"/>
                <w:szCs w:val="21"/>
                <w:highlight w:val="none"/>
              </w:rPr>
            </w:pPr>
            <w:r>
              <w:rPr>
                <w:rFonts w:hint="eastAsia" w:ascii="宋体" w:hAnsi="宋体" w:cs="宋体"/>
                <w:bCs/>
                <w:color w:val="auto"/>
                <w:szCs w:val="21"/>
                <w:highlight w:val="none"/>
              </w:rPr>
              <w:t>（1）投标文件按照招标文件规定的格式、内容填写，字迹清晰可辨：</w:t>
            </w:r>
          </w:p>
          <w:p>
            <w:pPr>
              <w:tabs>
                <w:tab w:val="left" w:pos="3060"/>
              </w:tabs>
              <w:snapToGrid w:val="0"/>
              <w:spacing w:line="320" w:lineRule="exact"/>
              <w:ind w:firstLine="205" w:firstLineChars="98"/>
              <w:rPr>
                <w:rFonts w:hint="eastAsia" w:ascii="宋体" w:hAnsi="宋体" w:cs="宋体"/>
                <w:bCs/>
                <w:color w:val="auto"/>
                <w:szCs w:val="21"/>
                <w:highlight w:val="none"/>
              </w:rPr>
            </w:pPr>
            <w:r>
              <w:rPr>
                <w:rFonts w:hint="eastAsia" w:ascii="宋体" w:hAnsi="宋体" w:cs="宋体"/>
                <w:bCs/>
                <w:color w:val="auto"/>
                <w:szCs w:val="21"/>
                <w:highlight w:val="none"/>
              </w:rPr>
              <w:t>a.投标函按招标文件规定填报了项目名称、投标价（包括大写金额和小写金额）；</w:t>
            </w:r>
          </w:p>
          <w:p>
            <w:pPr>
              <w:tabs>
                <w:tab w:val="left" w:pos="3060"/>
              </w:tabs>
              <w:snapToGrid w:val="0"/>
              <w:spacing w:line="320" w:lineRule="exact"/>
              <w:ind w:firstLine="205" w:firstLineChars="98"/>
              <w:rPr>
                <w:rFonts w:hint="eastAsia" w:ascii="宋体" w:hAnsi="宋体" w:cs="宋体"/>
                <w:bCs/>
                <w:color w:val="auto"/>
                <w:szCs w:val="21"/>
                <w:highlight w:val="none"/>
              </w:rPr>
            </w:pPr>
            <w:r>
              <w:rPr>
                <w:rFonts w:hint="eastAsia" w:ascii="宋体" w:hAnsi="宋体" w:cs="宋体"/>
                <w:bCs/>
                <w:color w:val="auto"/>
                <w:szCs w:val="21"/>
                <w:highlight w:val="none"/>
              </w:rPr>
              <w:t>b．投标文件组成齐全完整，内容均按规定填写。</w:t>
            </w:r>
          </w:p>
          <w:p>
            <w:pPr>
              <w:tabs>
                <w:tab w:val="left" w:pos="3060"/>
              </w:tabs>
              <w:snapToGrid w:val="0"/>
              <w:spacing w:line="320" w:lineRule="exact"/>
              <w:ind w:firstLine="210" w:firstLineChars="100"/>
              <w:rPr>
                <w:rFonts w:hint="eastAsia" w:ascii="宋体" w:hAnsi="宋体" w:cs="宋体"/>
                <w:color w:val="auto"/>
                <w:szCs w:val="21"/>
                <w:highlight w:val="none"/>
              </w:rPr>
            </w:pPr>
            <w:r>
              <w:rPr>
                <w:rFonts w:hint="eastAsia" w:ascii="宋体" w:hAnsi="宋体" w:cs="宋体"/>
                <w:bCs/>
                <w:color w:val="auto"/>
                <w:szCs w:val="21"/>
                <w:highlight w:val="none"/>
              </w:rPr>
              <w:t>（2）投标文件上法定代表人或其授权代理人的签字、投标人的单位章盖章齐全，符合招标文件规定。</w:t>
            </w:r>
          </w:p>
          <w:p>
            <w:pPr>
              <w:tabs>
                <w:tab w:val="left" w:pos="3060"/>
              </w:tabs>
              <w:snapToGrid w:val="0"/>
              <w:spacing w:line="32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（3）投标函中的报价未超过招标文件设定的最高投标限价。</w:t>
            </w:r>
          </w:p>
          <w:p>
            <w:pPr>
              <w:tabs>
                <w:tab w:val="left" w:pos="3060"/>
              </w:tabs>
              <w:snapToGrid w:val="0"/>
              <w:spacing w:line="32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（4）投标函中报价的大写金额能够确定具体数值。</w:t>
            </w:r>
          </w:p>
          <w:p>
            <w:pPr>
              <w:tabs>
                <w:tab w:val="left" w:pos="3060"/>
              </w:tabs>
              <w:snapToGrid w:val="0"/>
              <w:spacing w:line="32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center"/>
          </w:tcPr>
          <w:p>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052" w:type="dxa"/>
            <w:noWrap w:val="0"/>
            <w:vAlign w:val="center"/>
          </w:tcPr>
          <w:p>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7250" w:type="dxa"/>
            <w:noWrap w:val="0"/>
            <w:vAlign w:val="top"/>
          </w:tcPr>
          <w:p>
            <w:pPr>
              <w:keepNext w:val="0"/>
              <w:keepLines w:val="0"/>
              <w:pageBreakBefore w:val="0"/>
              <w:widowControl w:val="0"/>
              <w:tabs>
                <w:tab w:val="left" w:pos="3060"/>
              </w:tabs>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（1）投标人具备有效的营业执照和基本账户开户许可证（或基本存款账户信息）；</w:t>
            </w:r>
          </w:p>
          <w:p>
            <w:pPr>
              <w:keepNext w:val="0"/>
              <w:keepLines w:val="0"/>
              <w:pageBreakBefore w:val="0"/>
              <w:widowControl w:val="0"/>
              <w:tabs>
                <w:tab w:val="left" w:pos="3060"/>
              </w:tabs>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（2）投标人的资质等级符合招标文件规定；</w:t>
            </w:r>
          </w:p>
          <w:p>
            <w:pPr>
              <w:keepNext w:val="0"/>
              <w:keepLines w:val="0"/>
              <w:pageBreakBefore w:val="0"/>
              <w:widowControl w:val="0"/>
              <w:tabs>
                <w:tab w:val="left" w:pos="3060"/>
              </w:tabs>
              <w:kinsoku/>
              <w:wordWrap/>
              <w:overflowPunct/>
              <w:topLinePunct w:val="0"/>
              <w:autoSpaceDE/>
              <w:autoSpaceDN/>
              <w:bidi w:val="0"/>
              <w:adjustRightInd/>
              <w:snapToGrid w:val="0"/>
              <w:spacing w:line="320" w:lineRule="exact"/>
              <w:textAlignment w:val="auto"/>
              <w:rPr>
                <w:rFonts w:hint="eastAsia" w:ascii="宋体" w:hAnsi="宋体" w:eastAsia="宋体" w:cs="宋体"/>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）投标人的</w:t>
            </w:r>
            <w:r>
              <w:rPr>
                <w:rFonts w:hint="eastAsia" w:ascii="宋体" w:hAnsi="宋体" w:eastAsia="宋体" w:cs="宋体"/>
                <w:color w:val="auto"/>
                <w:szCs w:val="21"/>
                <w:highlight w:val="none"/>
                <w:lang w:val="en-US" w:eastAsia="zh-CN"/>
              </w:rPr>
              <w:t>类似项目业绩</w:t>
            </w:r>
            <w:r>
              <w:rPr>
                <w:rFonts w:hint="eastAsia" w:ascii="宋体" w:hAnsi="宋体" w:eastAsia="宋体" w:cs="宋体"/>
                <w:color w:val="auto"/>
                <w:szCs w:val="21"/>
                <w:highlight w:val="none"/>
              </w:rPr>
              <w:t>符合招标文件规定；</w:t>
            </w:r>
          </w:p>
          <w:p>
            <w:pPr>
              <w:keepNext w:val="0"/>
              <w:keepLines w:val="0"/>
              <w:pageBreakBefore w:val="0"/>
              <w:widowControl w:val="0"/>
              <w:tabs>
                <w:tab w:val="left" w:pos="3060"/>
              </w:tabs>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）投标人的信誉符合招标文件规定；</w:t>
            </w:r>
          </w:p>
          <w:p>
            <w:pPr>
              <w:pStyle w:val="2"/>
              <w:keepNext w:val="0"/>
              <w:keepLines w:val="0"/>
              <w:pageBreakBefore w:val="0"/>
              <w:widowControl w:val="0"/>
              <w:kinsoku/>
              <w:wordWrap/>
              <w:overflowPunct/>
              <w:topLinePunct w:val="0"/>
              <w:autoSpaceDE/>
              <w:autoSpaceDN/>
              <w:bidi w:val="0"/>
              <w:adjustRightInd/>
              <w:snapToGrid w:val="0"/>
              <w:spacing w:after="0" w:line="32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pacing w:val="-4"/>
                <w:szCs w:val="21"/>
                <w:highlight w:val="none"/>
              </w:rPr>
              <w:t>投标人的项目负责人资格符合招标文件规定；</w:t>
            </w:r>
          </w:p>
          <w:p>
            <w:pPr>
              <w:keepNext w:val="0"/>
              <w:keepLines w:val="0"/>
              <w:pageBreakBefore w:val="0"/>
              <w:widowControl w:val="0"/>
              <w:tabs>
                <w:tab w:val="left" w:pos="3060"/>
              </w:tabs>
              <w:kinsoku/>
              <w:wordWrap/>
              <w:overflowPunct/>
              <w:topLinePunct w:val="0"/>
              <w:autoSpaceDE/>
              <w:autoSpaceDN/>
              <w:bidi w:val="0"/>
              <w:adjustRightInd/>
              <w:snapToGrid w:val="0"/>
              <w:spacing w:line="320" w:lineRule="exac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）投标人不存在第二章“投标人须知”第1.4.3项、第1.4.4项规定的任何一种情形。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center"/>
          </w:tcPr>
          <w:p>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1052" w:type="dxa"/>
            <w:noWrap w:val="0"/>
            <w:vAlign w:val="center"/>
          </w:tcPr>
          <w:p>
            <w:pP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分值构成</w:t>
            </w:r>
          </w:p>
        </w:tc>
        <w:tc>
          <w:tcPr>
            <w:tcW w:w="7250" w:type="dxa"/>
            <w:noWrap w:val="0"/>
            <w:vAlign w:val="center"/>
          </w:tcPr>
          <w:p>
            <w:pPr>
              <w:autoSpaceDE w:val="0"/>
              <w:autoSpaceDN w:val="0"/>
              <w:adjustRightInd w:val="0"/>
              <w:snapToGrid w:val="0"/>
              <w:spacing w:line="320" w:lineRule="exact"/>
              <w:ind w:left="107"/>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第一信封（商务及技术文件）评分分值构成：</w:t>
            </w:r>
          </w:p>
          <w:p>
            <w:pPr>
              <w:autoSpaceDE w:val="0"/>
              <w:autoSpaceDN w:val="0"/>
              <w:adjustRightInd w:val="0"/>
              <w:snapToGrid w:val="0"/>
              <w:spacing w:line="320" w:lineRule="exact"/>
              <w:ind w:left="107"/>
              <w:jc w:val="left"/>
              <w:rPr>
                <w:rFonts w:hint="eastAsia" w:ascii="宋体" w:hAnsi="宋体"/>
                <w:color w:val="auto"/>
                <w:szCs w:val="21"/>
                <w:highlight w:val="none"/>
              </w:rPr>
            </w:pPr>
            <w:r>
              <w:rPr>
                <w:rFonts w:hint="eastAsia" w:ascii="宋体" w:hAnsi="宋体"/>
                <w:color w:val="auto"/>
                <w:szCs w:val="21"/>
                <w:highlight w:val="none"/>
              </w:rPr>
              <w:t>技术建议书：40分</w:t>
            </w:r>
          </w:p>
          <w:p>
            <w:pPr>
              <w:autoSpaceDE w:val="0"/>
              <w:autoSpaceDN w:val="0"/>
              <w:adjustRightInd w:val="0"/>
              <w:snapToGrid w:val="0"/>
              <w:spacing w:line="320" w:lineRule="exact"/>
              <w:ind w:left="107"/>
              <w:jc w:val="left"/>
              <w:rPr>
                <w:rFonts w:ascii="宋体" w:hAnsi="宋体"/>
                <w:color w:val="auto"/>
                <w:highlight w:val="none"/>
              </w:rPr>
            </w:pPr>
            <w:r>
              <w:rPr>
                <w:rFonts w:hint="eastAsia" w:ascii="宋体" w:hAnsi="宋体"/>
                <w:color w:val="auto"/>
                <w:szCs w:val="21"/>
                <w:highlight w:val="none"/>
              </w:rPr>
              <w:t>主要人员：  15分</w:t>
            </w:r>
          </w:p>
          <w:p>
            <w:pPr>
              <w:autoSpaceDE w:val="0"/>
              <w:autoSpaceDN w:val="0"/>
              <w:adjustRightInd w:val="0"/>
              <w:snapToGrid w:val="0"/>
              <w:spacing w:line="320" w:lineRule="exact"/>
              <w:ind w:left="10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其他因素：  15分</w:t>
            </w:r>
          </w:p>
          <w:p>
            <w:pPr>
              <w:autoSpaceDE w:val="0"/>
              <w:autoSpaceDN w:val="0"/>
              <w:adjustRightInd w:val="0"/>
              <w:snapToGrid w:val="0"/>
              <w:spacing w:line="320" w:lineRule="exact"/>
              <w:ind w:left="107"/>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第二信封（报价文件）评分分值构成：</w:t>
            </w:r>
          </w:p>
          <w:p>
            <w:pPr>
              <w:autoSpaceDE w:val="0"/>
              <w:autoSpaceDN w:val="0"/>
              <w:adjustRightInd w:val="0"/>
              <w:snapToGrid w:val="0"/>
              <w:spacing w:line="320" w:lineRule="exact"/>
              <w:ind w:left="107"/>
              <w:jc w:val="left"/>
              <w:rPr>
                <w:rFonts w:hint="eastAsia" w:ascii="宋体" w:hAnsi="宋体" w:cs="宋体"/>
                <w:color w:val="auto"/>
                <w:szCs w:val="21"/>
                <w:highlight w:val="none"/>
              </w:rPr>
            </w:pPr>
            <w:r>
              <w:rPr>
                <w:rFonts w:hint="eastAsia" w:ascii="宋体" w:hAnsi="宋体" w:cs="宋体"/>
                <w:color w:val="auto"/>
                <w:szCs w:val="21"/>
                <w:highlight w:val="none"/>
              </w:rPr>
              <w:t>评标价：    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41" w:type="dxa"/>
            <w:noWrap w:val="0"/>
            <w:vAlign w:val="center"/>
          </w:tcPr>
          <w:p>
            <w:pPr>
              <w:snapToGrid w:val="0"/>
              <w:spacing w:line="320" w:lineRule="exact"/>
              <w:ind w:right="113"/>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1052" w:type="dxa"/>
            <w:noWrap w:val="0"/>
            <w:vAlign w:val="center"/>
          </w:tcPr>
          <w:p>
            <w:pPr>
              <w:snapToGrid w:val="0"/>
              <w:spacing w:line="320" w:lineRule="exact"/>
              <w:ind w:left="2"/>
              <w:jc w:val="center"/>
              <w:rPr>
                <w:rFonts w:hint="eastAsia" w:ascii="宋体" w:hAnsi="宋体" w:cs="宋体"/>
                <w:color w:val="auto"/>
                <w:szCs w:val="21"/>
                <w:highlight w:val="none"/>
              </w:rPr>
            </w:pPr>
            <w:r>
              <w:rPr>
                <w:rFonts w:hint="eastAsia" w:ascii="宋体" w:hAnsi="宋体" w:cs="宋体"/>
                <w:color w:val="auto"/>
                <w:szCs w:val="21"/>
                <w:highlight w:val="none"/>
              </w:rPr>
              <w:t>评标基准价计算方法</w:t>
            </w:r>
          </w:p>
        </w:tc>
        <w:tc>
          <w:tcPr>
            <w:tcW w:w="7250" w:type="dxa"/>
            <w:noWrap w:val="0"/>
            <w:vAlign w:val="center"/>
          </w:tcPr>
          <w:p>
            <w:pPr>
              <w:snapToGrid w:val="0"/>
              <w:spacing w:line="320" w:lineRule="exact"/>
              <w:ind w:right="113"/>
              <w:rPr>
                <w:rFonts w:hint="eastAsia" w:ascii="宋体" w:hAnsi="宋体" w:cs="宋体"/>
                <w:color w:val="auto"/>
                <w:szCs w:val="21"/>
                <w:highlight w:val="none"/>
              </w:rPr>
            </w:pPr>
            <w:r>
              <w:rPr>
                <w:rFonts w:hint="eastAsia" w:ascii="宋体" w:hAnsi="宋体" w:cs="宋体"/>
                <w:color w:val="auto"/>
                <w:szCs w:val="21"/>
                <w:highlight w:val="none"/>
              </w:rPr>
              <w:t>评标基准价的计算：</w:t>
            </w:r>
          </w:p>
          <w:p>
            <w:pPr>
              <w:snapToGrid w:val="0"/>
              <w:spacing w:line="320" w:lineRule="exact"/>
              <w:ind w:right="113"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所有通过第一个信封评审的投标文件，由评标委员会开启第二个信封，并当场计算并宣布评标基准价。</w:t>
            </w:r>
          </w:p>
          <w:p>
            <w:pPr>
              <w:snapToGrid w:val="0"/>
              <w:spacing w:line="320" w:lineRule="exact"/>
              <w:ind w:left="113" w:right="113" w:firstLine="210" w:firstLineChars="100"/>
              <w:rPr>
                <w:rFonts w:hint="eastAsia" w:ascii="宋体" w:hAnsi="宋体" w:cs="宋体"/>
                <w:color w:val="auto"/>
                <w:szCs w:val="21"/>
                <w:highlight w:val="none"/>
              </w:rPr>
            </w:pPr>
            <w:r>
              <w:rPr>
                <w:rFonts w:hint="eastAsia" w:ascii="宋体" w:hAnsi="宋体" w:cs="宋体"/>
                <w:color w:val="auto"/>
                <w:szCs w:val="21"/>
                <w:highlight w:val="none"/>
              </w:rPr>
              <w:t>（1）评标价的确定：</w:t>
            </w:r>
          </w:p>
          <w:p>
            <w:pPr>
              <w:snapToGrid w:val="0"/>
              <w:spacing w:line="320" w:lineRule="exact"/>
              <w:ind w:left="113" w:right="113" w:firstLine="210" w:firstLineChars="100"/>
              <w:rPr>
                <w:rFonts w:hint="eastAsia" w:ascii="宋体" w:hAnsi="宋体" w:cs="宋体"/>
                <w:color w:val="auto"/>
                <w:szCs w:val="21"/>
                <w:highlight w:val="none"/>
              </w:rPr>
            </w:pPr>
            <w:r>
              <w:rPr>
                <w:rFonts w:hint="eastAsia" w:ascii="宋体" w:hAnsi="宋体" w:cs="宋体"/>
                <w:color w:val="auto"/>
                <w:szCs w:val="21"/>
                <w:highlight w:val="none"/>
              </w:rPr>
              <w:t>评标价=投标函文字报价</w:t>
            </w:r>
          </w:p>
          <w:p>
            <w:pPr>
              <w:snapToGrid w:val="0"/>
              <w:spacing w:line="320" w:lineRule="exact"/>
              <w:ind w:left="113" w:right="113" w:firstLine="210" w:firstLineChars="100"/>
              <w:rPr>
                <w:rFonts w:hint="eastAsia" w:ascii="宋体" w:hAnsi="宋体" w:cs="宋体"/>
                <w:color w:val="auto"/>
                <w:szCs w:val="21"/>
                <w:highlight w:val="none"/>
              </w:rPr>
            </w:pPr>
            <w:r>
              <w:rPr>
                <w:rFonts w:hint="eastAsia" w:ascii="宋体" w:hAnsi="宋体" w:cs="宋体"/>
                <w:color w:val="auto"/>
                <w:szCs w:val="21"/>
                <w:highlight w:val="none"/>
              </w:rPr>
              <w:t>（2）评标价平均值的计算：</w:t>
            </w:r>
          </w:p>
          <w:p>
            <w:pPr>
              <w:snapToGrid w:val="0"/>
              <w:spacing w:line="320" w:lineRule="exact"/>
              <w:ind w:right="113"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napToGrid w:val="0"/>
              <w:spacing w:line="320" w:lineRule="exact"/>
              <w:ind w:right="113"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（3）评标基准价的确定：</w:t>
            </w:r>
          </w:p>
          <w:p>
            <w:pPr>
              <w:pStyle w:val="12"/>
              <w:snapToGrid w:val="0"/>
              <w:spacing w:line="32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将评标价平均值直接作为评标基准价（评标基准价保留两位小数，小数点后第三位四舍五入）。</w:t>
            </w:r>
          </w:p>
          <w:p>
            <w:pPr>
              <w:snapToGrid w:val="0"/>
              <w:spacing w:line="320" w:lineRule="exact"/>
              <w:ind w:right="113" w:firstLine="426" w:firstLineChars="203"/>
              <w:rPr>
                <w:rFonts w:hint="eastAsia" w:ascii="宋体" w:hAnsi="宋体" w:cs="宋体"/>
                <w:color w:val="auto"/>
                <w:szCs w:val="21"/>
                <w:highlight w:val="none"/>
              </w:rPr>
            </w:pPr>
            <w:r>
              <w:rPr>
                <w:rFonts w:hint="eastAsia" w:ascii="宋体" w:hAnsi="宋体" w:cs="宋体"/>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snapToGrid w:val="0"/>
              <w:spacing w:line="320" w:lineRule="exact"/>
              <w:ind w:right="113" w:firstLine="426" w:firstLineChars="203"/>
              <w:rPr>
                <w:rFonts w:hint="eastAsia" w:ascii="宋体" w:hAnsi="宋体" w:cs="宋体"/>
                <w:color w:val="auto"/>
                <w:szCs w:val="21"/>
                <w:highlight w:val="none"/>
              </w:rPr>
            </w:pPr>
            <w:r>
              <w:rPr>
                <w:rFonts w:hint="eastAsia" w:ascii="宋体" w:hAnsi="宋体" w:cs="宋体"/>
                <w:color w:val="auto"/>
                <w:szCs w:val="21"/>
                <w:highlight w:val="none"/>
              </w:rPr>
              <w:t>当所有投标价都高于招标人投标控制价上限时，招标人将重新招标。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noWrap w:val="0"/>
            <w:vAlign w:val="center"/>
          </w:tcPr>
          <w:p>
            <w:pPr>
              <w:snapToGrid w:val="0"/>
              <w:spacing w:line="320" w:lineRule="exact"/>
              <w:ind w:right="113"/>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1052" w:type="dxa"/>
            <w:noWrap w:val="0"/>
            <w:vAlign w:val="center"/>
          </w:tcPr>
          <w:p>
            <w:pPr>
              <w:snapToGrid w:val="0"/>
              <w:spacing w:line="320" w:lineRule="exact"/>
              <w:ind w:left="-31" w:leftChars="-15" w:right="-77"/>
              <w:jc w:val="center"/>
              <w:rPr>
                <w:rFonts w:hint="eastAsia" w:ascii="宋体" w:hAnsi="宋体" w:cs="宋体"/>
                <w:color w:val="auto"/>
                <w:szCs w:val="21"/>
                <w:highlight w:val="none"/>
              </w:rPr>
            </w:pPr>
            <w:r>
              <w:rPr>
                <w:rFonts w:hint="eastAsia" w:ascii="宋体" w:hAnsi="宋体" w:cs="宋体"/>
                <w:color w:val="auto"/>
                <w:szCs w:val="21"/>
                <w:highlight w:val="none"/>
              </w:rPr>
              <w:t>评标价的偏差率计算公式</w:t>
            </w:r>
          </w:p>
        </w:tc>
        <w:tc>
          <w:tcPr>
            <w:tcW w:w="7250" w:type="dxa"/>
            <w:noWrap w:val="0"/>
            <w:vAlign w:val="center"/>
          </w:tcPr>
          <w:p>
            <w:pPr>
              <w:snapToGrid w:val="0"/>
              <w:spacing w:line="320" w:lineRule="exact"/>
              <w:ind w:left="113" w:right="113" w:firstLine="210" w:firstLineChars="100"/>
              <w:rPr>
                <w:rFonts w:hint="eastAsia" w:ascii="宋体" w:hAnsi="宋体" w:cs="宋体"/>
                <w:color w:val="auto"/>
                <w:szCs w:val="21"/>
                <w:highlight w:val="none"/>
              </w:rPr>
            </w:pPr>
            <w:r>
              <w:rPr>
                <w:rFonts w:hint="eastAsia" w:ascii="宋体" w:hAnsi="宋体" w:cs="宋体"/>
                <w:color w:val="auto"/>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noWrap w:val="0"/>
            <w:vAlign w:val="center"/>
          </w:tcPr>
          <w:p>
            <w:pPr>
              <w:snapToGrid w:val="0"/>
              <w:spacing w:line="320" w:lineRule="exact"/>
              <w:ind w:right="113"/>
              <w:jc w:val="center"/>
              <w:rPr>
                <w:rFonts w:hint="eastAsia" w:ascii="宋体" w:hAnsi="宋体" w:cs="宋体"/>
                <w:color w:val="auto"/>
                <w:szCs w:val="21"/>
                <w:highlight w:val="none"/>
              </w:rPr>
            </w:pPr>
            <w:r>
              <w:rPr>
                <w:rFonts w:hint="eastAsia" w:ascii="宋体" w:hAnsi="宋体" w:cs="宋体"/>
                <w:color w:val="auto"/>
                <w:szCs w:val="21"/>
                <w:highlight w:val="none"/>
              </w:rPr>
              <w:t>3.6.1</w:t>
            </w:r>
          </w:p>
        </w:tc>
        <w:tc>
          <w:tcPr>
            <w:tcW w:w="1052" w:type="dxa"/>
            <w:noWrap w:val="0"/>
            <w:vAlign w:val="center"/>
          </w:tcPr>
          <w:p>
            <w:pPr>
              <w:snapToGrid w:val="0"/>
              <w:spacing w:line="320" w:lineRule="exact"/>
              <w:ind w:left="-31" w:leftChars="-15" w:right="-77"/>
              <w:jc w:val="center"/>
              <w:rPr>
                <w:rFonts w:hint="eastAsia" w:ascii="宋体" w:hAnsi="宋体" w:cs="宋体"/>
                <w:color w:val="auto"/>
                <w:szCs w:val="21"/>
                <w:highlight w:val="none"/>
              </w:rPr>
            </w:pPr>
            <w:r>
              <w:rPr>
                <w:rFonts w:hint="eastAsia" w:ascii="宋体" w:hAnsi="宋体" w:cs="宋体"/>
                <w:color w:val="auto"/>
                <w:szCs w:val="21"/>
                <w:highlight w:val="none"/>
              </w:rPr>
              <w:t>投标文件相关信息核查</w:t>
            </w:r>
          </w:p>
        </w:tc>
        <w:tc>
          <w:tcPr>
            <w:tcW w:w="7250" w:type="dxa"/>
            <w:noWrap w:val="0"/>
            <w:vAlign w:val="center"/>
          </w:tcPr>
          <w:p>
            <w:pPr>
              <w:adjustRightInd w:val="0"/>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在评标过程中，评标委员会应对以下信息进行查询：</w:t>
            </w:r>
          </w:p>
          <w:p>
            <w:pPr>
              <w:snapToGrid w:val="0"/>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评标时对投标人的信用情况在“国家企业信用信息公示系统（http://www.gsxt.gov.cn/)”进行查询，若投标人存在被列入“严重违法失信名单”情形的（不含分公司）（事业单位不适用），评标委员会应否决其投标。</w:t>
            </w:r>
          </w:p>
          <w:p>
            <w:pPr>
              <w:snapToGrid w:val="0"/>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标委员会评标时还应对投标人的信用情况在“信用中国网站（http://www.creditchina.gov.cn/)”进行查询，若投标人存在被列入“失信被执行人、异常经营名录、税收违法黑名单、政府采购严重违法失信行为记录名单”情形的（均不含分公司），评标委员会应否决其投标。</w:t>
            </w:r>
          </w:p>
          <w:p>
            <w:pPr>
              <w:snapToGrid w:val="0"/>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如投标人未提供相关网页截图或所附截图内容与网站查询结果不一致，评标委员会应否决其投标。</w:t>
            </w:r>
          </w:p>
          <w:p>
            <w:pPr>
              <w:snapToGrid w:val="0"/>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41" w:type="dxa"/>
            <w:noWrap w:val="0"/>
            <w:vAlign w:val="center"/>
          </w:tcPr>
          <w:p>
            <w:pPr>
              <w:snapToGrid w:val="0"/>
              <w:spacing w:line="320" w:lineRule="exact"/>
              <w:ind w:right="113"/>
              <w:jc w:val="center"/>
              <w:rPr>
                <w:rFonts w:hint="eastAsia" w:ascii="宋体" w:hAnsi="宋体" w:cs="宋体"/>
                <w:color w:val="auto"/>
                <w:szCs w:val="21"/>
                <w:highlight w:val="none"/>
              </w:rPr>
            </w:pPr>
            <w:r>
              <w:rPr>
                <w:rFonts w:hint="eastAsia" w:ascii="宋体" w:hAnsi="宋体" w:cs="宋体"/>
                <w:color w:val="auto"/>
                <w:szCs w:val="21"/>
                <w:highlight w:val="none"/>
              </w:rPr>
              <w:t>3.9.1</w:t>
            </w:r>
          </w:p>
        </w:tc>
        <w:tc>
          <w:tcPr>
            <w:tcW w:w="1052" w:type="dxa"/>
            <w:noWrap w:val="0"/>
            <w:vAlign w:val="center"/>
          </w:tcPr>
          <w:p>
            <w:pPr>
              <w:snapToGrid w:val="0"/>
              <w:spacing w:line="320" w:lineRule="exact"/>
              <w:ind w:left="-31" w:leftChars="-15" w:right="-77"/>
              <w:jc w:val="center"/>
              <w:rPr>
                <w:rFonts w:hint="eastAsia" w:ascii="宋体" w:hAnsi="宋体" w:cs="宋体"/>
                <w:color w:val="auto"/>
                <w:szCs w:val="21"/>
                <w:highlight w:val="none"/>
              </w:rPr>
            </w:pPr>
            <w:r>
              <w:rPr>
                <w:rFonts w:hint="eastAsia" w:ascii="宋体" w:hAnsi="宋体" w:cs="宋体"/>
                <w:color w:val="auto"/>
                <w:szCs w:val="21"/>
                <w:highlight w:val="none"/>
              </w:rPr>
              <w:t>评标</w:t>
            </w:r>
          </w:p>
          <w:p>
            <w:pPr>
              <w:snapToGrid w:val="0"/>
              <w:spacing w:line="320" w:lineRule="exact"/>
              <w:ind w:left="-31" w:leftChars="-15" w:right="-77"/>
              <w:jc w:val="center"/>
              <w:rPr>
                <w:rFonts w:hint="eastAsia" w:ascii="宋体" w:hAnsi="宋体" w:cs="宋体"/>
                <w:color w:val="auto"/>
                <w:szCs w:val="21"/>
                <w:highlight w:val="none"/>
              </w:rPr>
            </w:pPr>
            <w:r>
              <w:rPr>
                <w:rFonts w:hint="eastAsia" w:ascii="宋体" w:hAnsi="宋体" w:cs="宋体"/>
                <w:color w:val="auto"/>
                <w:szCs w:val="21"/>
                <w:highlight w:val="none"/>
              </w:rPr>
              <w:t>结果</w:t>
            </w:r>
          </w:p>
        </w:tc>
        <w:tc>
          <w:tcPr>
            <w:tcW w:w="7250" w:type="dxa"/>
            <w:noWrap w:val="0"/>
            <w:vAlign w:val="center"/>
          </w:tcPr>
          <w:p>
            <w:pPr>
              <w:snapToGrid w:val="0"/>
              <w:spacing w:line="320" w:lineRule="exact"/>
              <w:ind w:right="113"/>
              <w:rPr>
                <w:rFonts w:hint="eastAsia" w:ascii="宋体" w:hAnsi="宋体" w:cs="宋体"/>
                <w:color w:val="auto"/>
                <w:szCs w:val="21"/>
                <w:highlight w:val="none"/>
              </w:rPr>
            </w:pPr>
            <w:r>
              <w:rPr>
                <w:rFonts w:hint="eastAsia" w:ascii="宋体" w:hAnsi="宋体" w:cs="宋体"/>
                <w:color w:val="auto"/>
                <w:szCs w:val="21"/>
                <w:highlight w:val="none"/>
              </w:rPr>
              <w:t xml:space="preserve">    除第二章“投标人须知”前附表授权直接确定中标人外，评标委员会按照评标办法前附表“1.评标办法”的规定推荐中标候选人。</w:t>
            </w:r>
          </w:p>
        </w:tc>
      </w:tr>
    </w:tbl>
    <w:p>
      <w:pPr>
        <w:jc w:val="right"/>
        <w:rPr>
          <w:rFonts w:ascii="宋体" w:hAnsi="宋体"/>
          <w:color w:val="auto"/>
          <w:szCs w:val="21"/>
          <w:highlight w:val="none"/>
        </w:rPr>
      </w:pPr>
      <w:r>
        <w:rPr>
          <w:rFonts w:ascii="宋体" w:hAnsi="宋体"/>
          <w:color w:val="auto"/>
          <w:sz w:val="24"/>
          <w:highlight w:val="none"/>
        </w:rPr>
        <w:br w:type="page"/>
      </w:r>
      <w:r>
        <w:rPr>
          <w:rFonts w:hint="eastAsia" w:ascii="宋体" w:hAnsi="宋体"/>
          <w:color w:val="auto"/>
          <w:sz w:val="24"/>
          <w:highlight w:val="none"/>
        </w:rPr>
        <w:t>续上表</w:t>
      </w:r>
    </w:p>
    <w:tbl>
      <w:tblPr>
        <w:tblStyle w:val="8"/>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687"/>
        <w:gridCol w:w="5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927" w:type="dxa"/>
            <w:gridSpan w:val="5"/>
            <w:noWrap w:val="0"/>
            <w:vAlign w:val="center"/>
          </w:tcPr>
          <w:p>
            <w:pPr>
              <w:pStyle w:val="6"/>
              <w:snapToGrid w:val="0"/>
              <w:spacing w:line="320" w:lineRule="exact"/>
              <w:jc w:val="center"/>
              <w:rPr>
                <w:rFonts w:hAnsi="宋体"/>
                <w:color w:val="auto"/>
                <w:highlight w:val="none"/>
              </w:rPr>
            </w:pPr>
            <w:r>
              <w:rPr>
                <w:rFonts w:hint="eastAsia" w:hAnsi="宋体"/>
                <w:color w:val="auto"/>
                <w:highlight w:val="none"/>
              </w:rPr>
              <w:t>评分因素与权重分值</w:t>
            </w:r>
          </w:p>
        </w:tc>
        <w:tc>
          <w:tcPr>
            <w:tcW w:w="5725" w:type="dxa"/>
            <w:vMerge w:val="restart"/>
            <w:noWrap w:val="0"/>
            <w:vAlign w:val="center"/>
          </w:tcPr>
          <w:p>
            <w:pPr>
              <w:pStyle w:val="6"/>
              <w:snapToGrid w:val="0"/>
              <w:spacing w:line="320" w:lineRule="exact"/>
              <w:jc w:val="center"/>
              <w:rPr>
                <w:rFonts w:hAnsi="宋体"/>
                <w:color w:val="auto"/>
                <w:highlight w:val="none"/>
              </w:rPr>
            </w:pPr>
            <w:r>
              <w:rPr>
                <w:rFonts w:hint="eastAsia" w:hAnsi="宋体"/>
                <w:color w:val="auto"/>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line="320" w:lineRule="exact"/>
              <w:jc w:val="center"/>
              <w:rPr>
                <w:rFonts w:hAnsi="宋体"/>
                <w:color w:val="auto"/>
                <w:highlight w:val="none"/>
              </w:rPr>
            </w:pPr>
            <w:r>
              <w:rPr>
                <w:rFonts w:hint="eastAsia" w:hAnsi="宋体"/>
                <w:color w:val="auto"/>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line="320" w:lineRule="exact"/>
              <w:jc w:val="center"/>
              <w:rPr>
                <w:rFonts w:hAnsi="宋体"/>
                <w:color w:val="auto"/>
                <w:highlight w:val="none"/>
              </w:rPr>
            </w:pPr>
            <w:r>
              <w:rPr>
                <w:rFonts w:hint="eastAsia" w:hAnsi="宋体"/>
                <w:color w:val="auto"/>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line="320" w:lineRule="exact"/>
              <w:ind w:left="-40" w:leftChars="-19" w:right="-31" w:rightChars="-15" w:firstLine="1"/>
              <w:jc w:val="center"/>
              <w:rPr>
                <w:rFonts w:hAnsi="宋体"/>
                <w:color w:val="auto"/>
                <w:highlight w:val="none"/>
              </w:rPr>
            </w:pPr>
            <w:r>
              <w:rPr>
                <w:rFonts w:hint="eastAsia" w:hAnsi="宋体"/>
                <w:color w:val="auto"/>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6"/>
              <w:snapToGrid w:val="0"/>
              <w:spacing w:line="320" w:lineRule="exact"/>
              <w:jc w:val="center"/>
              <w:rPr>
                <w:rFonts w:hAnsi="宋体"/>
                <w:color w:val="auto"/>
                <w:highlight w:val="none"/>
              </w:rPr>
            </w:pPr>
            <w:r>
              <w:rPr>
                <w:rStyle w:val="13"/>
                <w:color w:val="auto"/>
                <w:highlight w:val="none"/>
              </w:rPr>
              <w:t>各评分因素细分项</w:t>
            </w:r>
          </w:p>
        </w:tc>
        <w:tc>
          <w:tcPr>
            <w:tcW w:w="687" w:type="dxa"/>
            <w:tcBorders>
              <w:left w:val="single" w:color="auto" w:sz="4" w:space="0"/>
            </w:tcBorders>
            <w:noWrap w:val="0"/>
            <w:vAlign w:val="center"/>
          </w:tcPr>
          <w:p>
            <w:pPr>
              <w:pStyle w:val="6"/>
              <w:snapToGrid w:val="0"/>
              <w:spacing w:line="320" w:lineRule="exact"/>
              <w:jc w:val="center"/>
              <w:rPr>
                <w:rFonts w:hAnsi="宋体"/>
                <w:color w:val="auto"/>
                <w:highlight w:val="none"/>
              </w:rPr>
            </w:pPr>
            <w:r>
              <w:rPr>
                <w:rFonts w:hint="eastAsia" w:hAnsi="宋体"/>
                <w:color w:val="auto"/>
                <w:highlight w:val="none"/>
              </w:rPr>
              <w:t>分值</w:t>
            </w:r>
          </w:p>
        </w:tc>
        <w:tc>
          <w:tcPr>
            <w:tcW w:w="5725" w:type="dxa"/>
            <w:vMerge w:val="continue"/>
            <w:noWrap w:val="0"/>
            <w:vAlign w:val="center"/>
          </w:tcPr>
          <w:p>
            <w:pPr>
              <w:pStyle w:val="6"/>
              <w:snapToGrid w:val="0"/>
              <w:spacing w:line="320" w:lineRule="exact"/>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41" w:type="dxa"/>
            <w:vMerge w:val="restart"/>
            <w:tcBorders>
              <w:top w:val="single" w:color="auto" w:sz="4" w:space="0"/>
            </w:tcBorders>
            <w:noWrap w:val="0"/>
            <w:vAlign w:val="center"/>
          </w:tcPr>
          <w:p>
            <w:pPr>
              <w:pStyle w:val="6"/>
              <w:snapToGrid w:val="0"/>
              <w:spacing w:line="320" w:lineRule="exact"/>
              <w:jc w:val="center"/>
              <w:rPr>
                <w:rFonts w:hAnsi="宋体"/>
                <w:color w:val="auto"/>
                <w:highlight w:val="none"/>
              </w:rPr>
            </w:pPr>
            <w:r>
              <w:rPr>
                <w:rFonts w:hint="eastAsia" w:hAnsi="宋体"/>
                <w:color w:val="auto"/>
                <w:highlight w:val="none"/>
              </w:rPr>
              <w:t>2.2.4（1）</w:t>
            </w:r>
          </w:p>
        </w:tc>
        <w:tc>
          <w:tcPr>
            <w:tcW w:w="741" w:type="dxa"/>
            <w:vMerge w:val="restart"/>
            <w:tcBorders>
              <w:top w:val="single" w:color="auto" w:sz="4" w:space="0"/>
            </w:tcBorders>
            <w:noWrap w:val="0"/>
            <w:vAlign w:val="center"/>
          </w:tcPr>
          <w:p>
            <w:pPr>
              <w:pStyle w:val="6"/>
              <w:snapToGrid w:val="0"/>
              <w:spacing w:line="320" w:lineRule="exact"/>
              <w:jc w:val="center"/>
              <w:rPr>
                <w:rFonts w:hAnsi="宋体"/>
                <w:color w:val="auto"/>
                <w:highlight w:val="none"/>
              </w:rPr>
            </w:pPr>
            <w:r>
              <w:rPr>
                <w:rFonts w:hint="eastAsia" w:hAnsi="宋体" w:cs="宋体"/>
                <w:color w:val="auto"/>
                <w:highlight w:val="none"/>
              </w:rPr>
              <w:t>技术建议书</w:t>
            </w:r>
          </w:p>
        </w:tc>
        <w:tc>
          <w:tcPr>
            <w:tcW w:w="624" w:type="dxa"/>
            <w:vMerge w:val="restart"/>
            <w:tcBorders>
              <w:top w:val="single" w:color="auto" w:sz="4" w:space="0"/>
            </w:tcBorders>
            <w:noWrap w:val="0"/>
            <w:vAlign w:val="center"/>
          </w:tcPr>
          <w:p>
            <w:pPr>
              <w:pStyle w:val="6"/>
              <w:snapToGrid w:val="0"/>
              <w:spacing w:line="320" w:lineRule="exact"/>
              <w:jc w:val="center"/>
              <w:rPr>
                <w:rFonts w:hAnsi="宋体"/>
                <w:color w:val="auto"/>
                <w:highlight w:val="none"/>
              </w:rPr>
            </w:pPr>
            <w:r>
              <w:rPr>
                <w:rFonts w:hint="eastAsia" w:hAnsi="宋体"/>
                <w:color w:val="auto"/>
                <w:highlight w:val="none"/>
              </w:rPr>
              <w:t>40分</w:t>
            </w:r>
          </w:p>
        </w:tc>
        <w:tc>
          <w:tcPr>
            <w:tcW w:w="1134" w:type="dxa"/>
            <w:vMerge w:val="restart"/>
            <w:tcBorders>
              <w:top w:val="single" w:color="auto" w:sz="4" w:space="0"/>
            </w:tcBorders>
            <w:noWrap w:val="0"/>
            <w:vAlign w:val="center"/>
          </w:tcPr>
          <w:p>
            <w:pPr>
              <w:pStyle w:val="6"/>
              <w:spacing w:line="160" w:lineRule="atLeast"/>
              <w:jc w:val="center"/>
              <w:rPr>
                <w:rFonts w:hint="eastAsia" w:hAnsi="宋体" w:cs="宋体"/>
                <w:color w:val="auto"/>
                <w:highlight w:val="none"/>
              </w:rPr>
            </w:pPr>
            <w:r>
              <w:rPr>
                <w:rFonts w:hint="eastAsia" w:hAnsi="宋体"/>
                <w:color w:val="auto"/>
                <w:highlight w:val="none"/>
              </w:rPr>
              <w:t>对本项目的特点、关键技术问题的认识及其对策措施</w:t>
            </w:r>
          </w:p>
        </w:tc>
        <w:tc>
          <w:tcPr>
            <w:tcW w:w="687" w:type="dxa"/>
            <w:vMerge w:val="restart"/>
            <w:noWrap w:val="0"/>
            <w:vAlign w:val="center"/>
          </w:tcPr>
          <w:p>
            <w:pPr>
              <w:pStyle w:val="6"/>
              <w:spacing w:line="160" w:lineRule="atLeast"/>
              <w:jc w:val="center"/>
              <w:rPr>
                <w:rFonts w:hAnsi="宋体" w:cs="宋体"/>
                <w:color w:val="auto"/>
                <w:highlight w:val="none"/>
              </w:rPr>
            </w:pPr>
            <w:r>
              <w:rPr>
                <w:rFonts w:hint="eastAsia" w:hAnsi="宋体"/>
                <w:color w:val="auto"/>
                <w:highlight w:val="none"/>
              </w:rPr>
              <w:t>15分</w:t>
            </w:r>
          </w:p>
        </w:tc>
        <w:tc>
          <w:tcPr>
            <w:tcW w:w="5725" w:type="dxa"/>
            <w:noWrap w:val="0"/>
            <w:vAlign w:val="center"/>
          </w:tcPr>
          <w:p>
            <w:pPr>
              <w:pStyle w:val="6"/>
              <w:spacing w:line="380" w:lineRule="exact"/>
              <w:jc w:val="left"/>
              <w:rPr>
                <w:rFonts w:hint="eastAsia" w:hAnsi="宋体" w:cs="宋体"/>
                <w:color w:val="auto"/>
                <w:highlight w:val="none"/>
              </w:rPr>
            </w:pPr>
            <w:r>
              <w:rPr>
                <w:rFonts w:hint="eastAsia" w:hAnsi="宋体"/>
                <w:color w:val="auto"/>
                <w:highlight w:val="none"/>
              </w:rPr>
              <w:t>项目的特点和关键技术问题的针对性一般，技术建议基本可行，得9分；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41" w:type="dxa"/>
            <w:vMerge w:val="continue"/>
            <w:noWrap w:val="0"/>
            <w:vAlign w:val="center"/>
          </w:tcPr>
          <w:p>
            <w:pPr>
              <w:pStyle w:val="6"/>
              <w:snapToGrid w:val="0"/>
              <w:spacing w:line="320" w:lineRule="exact"/>
              <w:jc w:val="center"/>
              <w:rPr>
                <w:rFonts w:hint="eastAsia" w:hAnsi="宋体"/>
                <w:color w:val="auto"/>
                <w:highlight w:val="none"/>
              </w:rPr>
            </w:pPr>
          </w:p>
        </w:tc>
        <w:tc>
          <w:tcPr>
            <w:tcW w:w="741" w:type="dxa"/>
            <w:vMerge w:val="continue"/>
            <w:noWrap w:val="0"/>
            <w:vAlign w:val="center"/>
          </w:tcPr>
          <w:p>
            <w:pPr>
              <w:pStyle w:val="6"/>
              <w:snapToGrid w:val="0"/>
              <w:spacing w:line="320" w:lineRule="exact"/>
              <w:jc w:val="center"/>
              <w:rPr>
                <w:rFonts w:hint="eastAsia" w:hAnsi="宋体" w:cs="宋体"/>
                <w:color w:val="auto"/>
                <w:highlight w:val="none"/>
              </w:rPr>
            </w:pPr>
          </w:p>
        </w:tc>
        <w:tc>
          <w:tcPr>
            <w:tcW w:w="624" w:type="dxa"/>
            <w:vMerge w:val="continue"/>
            <w:noWrap w:val="0"/>
            <w:vAlign w:val="center"/>
          </w:tcPr>
          <w:p>
            <w:pPr>
              <w:pStyle w:val="6"/>
              <w:snapToGrid w:val="0"/>
              <w:spacing w:line="320" w:lineRule="exact"/>
              <w:jc w:val="center"/>
              <w:rPr>
                <w:rFonts w:hint="eastAsia" w:hAnsi="宋体"/>
                <w:color w:val="auto"/>
                <w:highlight w:val="none"/>
              </w:rPr>
            </w:pPr>
          </w:p>
        </w:tc>
        <w:tc>
          <w:tcPr>
            <w:tcW w:w="1134" w:type="dxa"/>
            <w:vMerge w:val="continue"/>
            <w:noWrap w:val="0"/>
            <w:vAlign w:val="center"/>
          </w:tcPr>
          <w:p>
            <w:pPr>
              <w:pStyle w:val="6"/>
              <w:spacing w:line="160" w:lineRule="atLeast"/>
              <w:jc w:val="center"/>
              <w:rPr>
                <w:rFonts w:hint="eastAsia" w:hAnsi="宋体" w:cs="宋体"/>
                <w:color w:val="auto"/>
                <w:highlight w:val="none"/>
              </w:rPr>
            </w:pPr>
          </w:p>
        </w:tc>
        <w:tc>
          <w:tcPr>
            <w:tcW w:w="687" w:type="dxa"/>
            <w:vMerge w:val="continue"/>
            <w:noWrap w:val="0"/>
            <w:vAlign w:val="center"/>
          </w:tcPr>
          <w:p>
            <w:pPr>
              <w:pStyle w:val="6"/>
              <w:spacing w:line="160" w:lineRule="atLeast"/>
              <w:jc w:val="center"/>
              <w:rPr>
                <w:rFonts w:hAnsi="宋体" w:cs="宋体"/>
                <w:color w:val="auto"/>
                <w:highlight w:val="none"/>
              </w:rPr>
            </w:pPr>
          </w:p>
        </w:tc>
        <w:tc>
          <w:tcPr>
            <w:tcW w:w="5725" w:type="dxa"/>
            <w:noWrap w:val="0"/>
            <w:vAlign w:val="center"/>
          </w:tcPr>
          <w:p>
            <w:pPr>
              <w:pStyle w:val="6"/>
              <w:spacing w:line="380" w:lineRule="exact"/>
              <w:jc w:val="left"/>
              <w:rPr>
                <w:rFonts w:hint="eastAsia" w:hAnsi="宋体" w:cs="宋体"/>
                <w:color w:val="auto"/>
                <w:highlight w:val="none"/>
              </w:rPr>
            </w:pPr>
            <w:r>
              <w:rPr>
                <w:rFonts w:hint="eastAsia" w:hAnsi="宋体"/>
                <w:color w:val="auto"/>
                <w:highlight w:val="none"/>
              </w:rPr>
              <w:t>项目的特点和关键技术问题针对性较强，技术建议可行，得9－12分；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41" w:type="dxa"/>
            <w:vMerge w:val="continue"/>
            <w:noWrap w:val="0"/>
            <w:vAlign w:val="center"/>
          </w:tcPr>
          <w:p>
            <w:pPr>
              <w:pStyle w:val="6"/>
              <w:snapToGrid w:val="0"/>
              <w:spacing w:line="320" w:lineRule="exact"/>
              <w:jc w:val="center"/>
              <w:rPr>
                <w:rFonts w:hint="eastAsia" w:hAnsi="宋体"/>
                <w:color w:val="auto"/>
                <w:highlight w:val="none"/>
              </w:rPr>
            </w:pPr>
          </w:p>
        </w:tc>
        <w:tc>
          <w:tcPr>
            <w:tcW w:w="741" w:type="dxa"/>
            <w:vMerge w:val="continue"/>
            <w:noWrap w:val="0"/>
            <w:vAlign w:val="center"/>
          </w:tcPr>
          <w:p>
            <w:pPr>
              <w:pStyle w:val="6"/>
              <w:snapToGrid w:val="0"/>
              <w:spacing w:line="320" w:lineRule="exact"/>
              <w:jc w:val="center"/>
              <w:rPr>
                <w:rFonts w:hint="eastAsia" w:hAnsi="宋体" w:cs="宋体"/>
                <w:color w:val="auto"/>
                <w:highlight w:val="none"/>
              </w:rPr>
            </w:pPr>
          </w:p>
        </w:tc>
        <w:tc>
          <w:tcPr>
            <w:tcW w:w="624" w:type="dxa"/>
            <w:vMerge w:val="continue"/>
            <w:noWrap w:val="0"/>
            <w:vAlign w:val="center"/>
          </w:tcPr>
          <w:p>
            <w:pPr>
              <w:pStyle w:val="6"/>
              <w:snapToGrid w:val="0"/>
              <w:spacing w:line="320" w:lineRule="exact"/>
              <w:jc w:val="center"/>
              <w:rPr>
                <w:rFonts w:hint="eastAsia" w:hAnsi="宋体"/>
                <w:color w:val="auto"/>
                <w:highlight w:val="none"/>
              </w:rPr>
            </w:pPr>
          </w:p>
        </w:tc>
        <w:tc>
          <w:tcPr>
            <w:tcW w:w="1134" w:type="dxa"/>
            <w:vMerge w:val="continue"/>
            <w:noWrap w:val="0"/>
            <w:vAlign w:val="center"/>
          </w:tcPr>
          <w:p>
            <w:pPr>
              <w:pStyle w:val="6"/>
              <w:spacing w:line="160" w:lineRule="atLeast"/>
              <w:jc w:val="center"/>
              <w:rPr>
                <w:rFonts w:hint="eastAsia" w:hAnsi="宋体" w:cs="宋体"/>
                <w:color w:val="auto"/>
                <w:highlight w:val="none"/>
              </w:rPr>
            </w:pPr>
          </w:p>
        </w:tc>
        <w:tc>
          <w:tcPr>
            <w:tcW w:w="687" w:type="dxa"/>
            <w:vMerge w:val="continue"/>
            <w:noWrap w:val="0"/>
            <w:vAlign w:val="center"/>
          </w:tcPr>
          <w:p>
            <w:pPr>
              <w:pStyle w:val="6"/>
              <w:spacing w:line="160" w:lineRule="atLeast"/>
              <w:jc w:val="center"/>
              <w:rPr>
                <w:rFonts w:hAnsi="宋体" w:cs="宋体"/>
                <w:color w:val="auto"/>
                <w:highlight w:val="none"/>
              </w:rPr>
            </w:pPr>
          </w:p>
        </w:tc>
        <w:tc>
          <w:tcPr>
            <w:tcW w:w="5725" w:type="dxa"/>
            <w:noWrap w:val="0"/>
            <w:vAlign w:val="center"/>
          </w:tcPr>
          <w:p>
            <w:pPr>
              <w:pStyle w:val="6"/>
              <w:spacing w:line="380" w:lineRule="exact"/>
              <w:jc w:val="left"/>
              <w:rPr>
                <w:rFonts w:hint="eastAsia" w:hAnsi="宋体" w:cs="宋体"/>
                <w:color w:val="auto"/>
                <w:highlight w:val="none"/>
              </w:rPr>
            </w:pPr>
            <w:r>
              <w:rPr>
                <w:rFonts w:hint="eastAsia" w:hAnsi="宋体"/>
                <w:color w:val="auto"/>
                <w:highlight w:val="none"/>
              </w:rPr>
              <w:t>项目的特点针对性强，关键技术问题对策明确、合理，技术建议科学、有效、可行，得12－15分。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color w:val="auto"/>
                <w:highlight w:val="none"/>
              </w:rPr>
            </w:pPr>
          </w:p>
        </w:tc>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color w:val="auto"/>
                <w:highlight w:val="none"/>
              </w:rPr>
            </w:pPr>
          </w:p>
        </w:tc>
        <w:tc>
          <w:tcPr>
            <w:tcW w:w="624" w:type="dxa"/>
            <w:vMerge w:val="continue"/>
            <w:tcBorders>
              <w:top w:val="single" w:color="auto" w:sz="4" w:space="0"/>
            </w:tcBorders>
            <w:noWrap w:val="0"/>
            <w:vAlign w:val="center"/>
          </w:tcPr>
          <w:p>
            <w:pPr>
              <w:pStyle w:val="6"/>
              <w:snapToGrid w:val="0"/>
              <w:spacing w:line="320" w:lineRule="exact"/>
              <w:jc w:val="center"/>
              <w:rPr>
                <w:rFonts w:hAnsi="宋体"/>
                <w:color w:val="auto"/>
                <w:highlight w:val="none"/>
              </w:rPr>
            </w:pPr>
          </w:p>
        </w:tc>
        <w:tc>
          <w:tcPr>
            <w:tcW w:w="1134" w:type="dxa"/>
            <w:vMerge w:val="restart"/>
            <w:tcBorders>
              <w:top w:val="single" w:color="auto" w:sz="4" w:space="0"/>
            </w:tcBorders>
            <w:noWrap w:val="0"/>
            <w:vAlign w:val="center"/>
          </w:tcPr>
          <w:p>
            <w:pPr>
              <w:pStyle w:val="6"/>
              <w:spacing w:line="160" w:lineRule="atLeast"/>
              <w:jc w:val="center"/>
              <w:rPr>
                <w:rFonts w:hint="eastAsia" w:hAnsi="宋体" w:cs="宋体"/>
                <w:color w:val="auto"/>
                <w:highlight w:val="none"/>
              </w:rPr>
            </w:pPr>
            <w:r>
              <w:rPr>
                <w:rFonts w:hint="eastAsia" w:hAnsi="宋体"/>
                <w:color w:val="auto"/>
                <w:highlight w:val="none"/>
              </w:rPr>
              <w:t>工作量及计划安排</w:t>
            </w:r>
          </w:p>
        </w:tc>
        <w:tc>
          <w:tcPr>
            <w:tcW w:w="687" w:type="dxa"/>
            <w:vMerge w:val="restart"/>
            <w:noWrap w:val="0"/>
            <w:vAlign w:val="center"/>
          </w:tcPr>
          <w:p>
            <w:pPr>
              <w:pStyle w:val="6"/>
              <w:spacing w:line="160" w:lineRule="atLeast"/>
              <w:jc w:val="center"/>
              <w:rPr>
                <w:rFonts w:hAnsi="宋体" w:cs="宋体"/>
                <w:color w:val="auto"/>
                <w:highlight w:val="none"/>
              </w:rPr>
            </w:pPr>
            <w:r>
              <w:rPr>
                <w:rFonts w:hint="eastAsia" w:hAnsi="宋体"/>
                <w:color w:val="auto"/>
                <w:highlight w:val="none"/>
              </w:rPr>
              <w:t>10分</w:t>
            </w:r>
          </w:p>
        </w:tc>
        <w:tc>
          <w:tcPr>
            <w:tcW w:w="5725" w:type="dxa"/>
            <w:noWrap w:val="0"/>
            <w:vAlign w:val="center"/>
          </w:tcPr>
          <w:p>
            <w:pPr>
              <w:pStyle w:val="6"/>
              <w:spacing w:line="380" w:lineRule="exact"/>
              <w:jc w:val="left"/>
              <w:rPr>
                <w:rFonts w:hint="eastAsia" w:hAnsi="宋体" w:cs="宋体"/>
                <w:color w:val="auto"/>
                <w:highlight w:val="none"/>
              </w:rPr>
            </w:pPr>
            <w:r>
              <w:rPr>
                <w:rFonts w:hint="eastAsia" w:hAnsi="宋体"/>
                <w:color w:val="auto"/>
                <w:highlight w:val="none"/>
              </w:rPr>
              <w:t>工作量及计划安排基本合理，得6分；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color w:val="auto"/>
                <w:highlight w:val="none"/>
              </w:rPr>
            </w:pPr>
          </w:p>
        </w:tc>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color w:val="auto"/>
                <w:highlight w:val="none"/>
              </w:rPr>
            </w:pPr>
          </w:p>
        </w:tc>
        <w:tc>
          <w:tcPr>
            <w:tcW w:w="624" w:type="dxa"/>
            <w:vMerge w:val="continue"/>
            <w:tcBorders>
              <w:top w:val="single" w:color="auto" w:sz="4" w:space="0"/>
            </w:tcBorders>
            <w:noWrap w:val="0"/>
            <w:vAlign w:val="center"/>
          </w:tcPr>
          <w:p>
            <w:pPr>
              <w:pStyle w:val="6"/>
              <w:snapToGrid w:val="0"/>
              <w:spacing w:line="320" w:lineRule="exact"/>
              <w:jc w:val="center"/>
              <w:rPr>
                <w:rFonts w:hAnsi="宋体"/>
                <w:color w:val="auto"/>
                <w:highlight w:val="none"/>
              </w:rPr>
            </w:pPr>
          </w:p>
        </w:tc>
        <w:tc>
          <w:tcPr>
            <w:tcW w:w="1134" w:type="dxa"/>
            <w:vMerge w:val="continue"/>
            <w:noWrap w:val="0"/>
            <w:vAlign w:val="top"/>
          </w:tcPr>
          <w:p>
            <w:pPr>
              <w:pStyle w:val="6"/>
              <w:spacing w:line="160" w:lineRule="atLeast"/>
              <w:jc w:val="center"/>
              <w:rPr>
                <w:rFonts w:hint="eastAsia" w:hAnsi="宋体" w:cs="宋体"/>
                <w:color w:val="auto"/>
                <w:highlight w:val="none"/>
              </w:rPr>
            </w:pPr>
          </w:p>
        </w:tc>
        <w:tc>
          <w:tcPr>
            <w:tcW w:w="687" w:type="dxa"/>
            <w:vMerge w:val="continue"/>
            <w:noWrap w:val="0"/>
            <w:vAlign w:val="center"/>
          </w:tcPr>
          <w:p>
            <w:pPr>
              <w:pStyle w:val="6"/>
              <w:spacing w:line="160" w:lineRule="atLeast"/>
              <w:jc w:val="center"/>
              <w:rPr>
                <w:rFonts w:hAnsi="宋体" w:cs="宋体"/>
                <w:color w:val="auto"/>
                <w:highlight w:val="none"/>
              </w:rPr>
            </w:pPr>
          </w:p>
        </w:tc>
        <w:tc>
          <w:tcPr>
            <w:tcW w:w="5725" w:type="dxa"/>
            <w:noWrap w:val="0"/>
            <w:vAlign w:val="center"/>
          </w:tcPr>
          <w:p>
            <w:pPr>
              <w:pStyle w:val="6"/>
              <w:spacing w:line="380" w:lineRule="exact"/>
              <w:jc w:val="left"/>
              <w:rPr>
                <w:rFonts w:hint="eastAsia" w:hAnsi="宋体" w:cs="宋体"/>
                <w:color w:val="auto"/>
                <w:highlight w:val="none"/>
              </w:rPr>
            </w:pPr>
            <w:r>
              <w:rPr>
                <w:rFonts w:hint="eastAsia" w:hAnsi="宋体"/>
                <w:color w:val="auto"/>
                <w:highlight w:val="none"/>
              </w:rPr>
              <w:t>工作量及计划安排合理，得</w:t>
            </w:r>
            <w:r>
              <w:rPr>
                <w:rFonts w:hint="eastAsia" w:hAnsi="宋体"/>
                <w:color w:val="auto"/>
                <w:spacing w:val="-4"/>
                <w:highlight w:val="none"/>
              </w:rPr>
              <w:t>6</w:t>
            </w:r>
            <w:r>
              <w:rPr>
                <w:rFonts w:hAnsi="宋体"/>
                <w:color w:val="auto"/>
                <w:spacing w:val="-4"/>
                <w:highlight w:val="none"/>
              </w:rPr>
              <w:t>-</w:t>
            </w:r>
            <w:r>
              <w:rPr>
                <w:rFonts w:hint="eastAsia" w:hAnsi="宋体"/>
                <w:color w:val="auto"/>
                <w:spacing w:val="-4"/>
                <w:highlight w:val="none"/>
              </w:rPr>
              <w:t>8</w:t>
            </w:r>
            <w:r>
              <w:rPr>
                <w:rFonts w:hint="eastAsia" w:hAnsi="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color w:val="auto"/>
                <w:highlight w:val="none"/>
              </w:rPr>
            </w:pPr>
          </w:p>
        </w:tc>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color w:val="auto"/>
                <w:highlight w:val="none"/>
              </w:rPr>
            </w:pPr>
          </w:p>
        </w:tc>
        <w:tc>
          <w:tcPr>
            <w:tcW w:w="624" w:type="dxa"/>
            <w:vMerge w:val="continue"/>
            <w:tcBorders>
              <w:top w:val="single" w:color="auto" w:sz="4" w:space="0"/>
            </w:tcBorders>
            <w:noWrap w:val="0"/>
            <w:vAlign w:val="center"/>
          </w:tcPr>
          <w:p>
            <w:pPr>
              <w:pStyle w:val="6"/>
              <w:snapToGrid w:val="0"/>
              <w:spacing w:line="320" w:lineRule="exact"/>
              <w:jc w:val="center"/>
              <w:rPr>
                <w:rFonts w:hAnsi="宋体"/>
                <w:color w:val="auto"/>
                <w:highlight w:val="none"/>
              </w:rPr>
            </w:pPr>
          </w:p>
        </w:tc>
        <w:tc>
          <w:tcPr>
            <w:tcW w:w="1134" w:type="dxa"/>
            <w:vMerge w:val="continue"/>
            <w:noWrap w:val="0"/>
            <w:vAlign w:val="top"/>
          </w:tcPr>
          <w:p>
            <w:pPr>
              <w:pStyle w:val="6"/>
              <w:spacing w:line="160" w:lineRule="atLeast"/>
              <w:jc w:val="center"/>
              <w:rPr>
                <w:rFonts w:hint="eastAsia" w:hAnsi="宋体" w:cs="宋体"/>
                <w:color w:val="auto"/>
                <w:highlight w:val="none"/>
              </w:rPr>
            </w:pPr>
          </w:p>
        </w:tc>
        <w:tc>
          <w:tcPr>
            <w:tcW w:w="687" w:type="dxa"/>
            <w:vMerge w:val="continue"/>
            <w:noWrap w:val="0"/>
            <w:vAlign w:val="center"/>
          </w:tcPr>
          <w:p>
            <w:pPr>
              <w:pStyle w:val="6"/>
              <w:spacing w:line="160" w:lineRule="atLeast"/>
              <w:jc w:val="center"/>
              <w:rPr>
                <w:rFonts w:hAnsi="宋体" w:cs="宋体"/>
                <w:color w:val="auto"/>
                <w:highlight w:val="none"/>
              </w:rPr>
            </w:pPr>
          </w:p>
        </w:tc>
        <w:tc>
          <w:tcPr>
            <w:tcW w:w="5725" w:type="dxa"/>
            <w:noWrap w:val="0"/>
            <w:vAlign w:val="center"/>
          </w:tcPr>
          <w:p>
            <w:pPr>
              <w:pStyle w:val="6"/>
              <w:spacing w:line="380" w:lineRule="exact"/>
              <w:jc w:val="left"/>
              <w:rPr>
                <w:rFonts w:hint="eastAsia" w:hAnsi="宋体" w:cs="宋体"/>
                <w:color w:val="auto"/>
                <w:highlight w:val="none"/>
              </w:rPr>
            </w:pPr>
            <w:r>
              <w:rPr>
                <w:rFonts w:hint="eastAsia" w:hAnsi="宋体"/>
                <w:color w:val="auto"/>
                <w:highlight w:val="none"/>
              </w:rPr>
              <w:t>工作量及计划安排科学，安排周密，得8－10分。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color w:val="auto"/>
                <w:highlight w:val="none"/>
              </w:rPr>
            </w:pPr>
          </w:p>
        </w:tc>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color w:val="auto"/>
                <w:highlight w:val="none"/>
              </w:rPr>
            </w:pPr>
          </w:p>
        </w:tc>
        <w:tc>
          <w:tcPr>
            <w:tcW w:w="624" w:type="dxa"/>
            <w:vMerge w:val="continue"/>
            <w:tcBorders>
              <w:top w:val="single" w:color="auto" w:sz="4" w:space="0"/>
            </w:tcBorders>
            <w:noWrap w:val="0"/>
            <w:vAlign w:val="center"/>
          </w:tcPr>
          <w:p>
            <w:pPr>
              <w:pStyle w:val="6"/>
              <w:snapToGrid w:val="0"/>
              <w:spacing w:line="320" w:lineRule="exact"/>
              <w:jc w:val="center"/>
              <w:rPr>
                <w:rFonts w:hAnsi="宋体"/>
                <w:color w:val="auto"/>
                <w:highlight w:val="none"/>
              </w:rPr>
            </w:pPr>
          </w:p>
        </w:tc>
        <w:tc>
          <w:tcPr>
            <w:tcW w:w="1134" w:type="dxa"/>
            <w:vMerge w:val="restart"/>
            <w:tcBorders>
              <w:top w:val="single" w:color="auto" w:sz="4" w:space="0"/>
            </w:tcBorders>
            <w:noWrap w:val="0"/>
            <w:vAlign w:val="center"/>
          </w:tcPr>
          <w:p>
            <w:pPr>
              <w:pStyle w:val="6"/>
              <w:spacing w:line="160" w:lineRule="atLeast"/>
              <w:jc w:val="center"/>
              <w:rPr>
                <w:rFonts w:hint="eastAsia" w:hAnsi="宋体" w:cs="宋体"/>
                <w:color w:val="auto"/>
                <w:highlight w:val="none"/>
              </w:rPr>
            </w:pPr>
            <w:r>
              <w:rPr>
                <w:rFonts w:hint="eastAsia" w:hAnsi="宋体"/>
                <w:color w:val="auto"/>
                <w:highlight w:val="none"/>
              </w:rPr>
              <w:t>服务保证措施、进度保证措施</w:t>
            </w:r>
          </w:p>
        </w:tc>
        <w:tc>
          <w:tcPr>
            <w:tcW w:w="687" w:type="dxa"/>
            <w:vMerge w:val="restart"/>
            <w:noWrap w:val="0"/>
            <w:vAlign w:val="center"/>
          </w:tcPr>
          <w:p>
            <w:pPr>
              <w:pStyle w:val="6"/>
              <w:spacing w:line="160" w:lineRule="atLeast"/>
              <w:jc w:val="center"/>
              <w:rPr>
                <w:rFonts w:hAnsi="宋体" w:cs="宋体"/>
                <w:color w:val="auto"/>
                <w:highlight w:val="none"/>
              </w:rPr>
            </w:pPr>
            <w:r>
              <w:rPr>
                <w:rFonts w:hint="eastAsia" w:hAnsi="宋体"/>
                <w:color w:val="auto"/>
                <w:highlight w:val="none"/>
              </w:rPr>
              <w:t>10分</w:t>
            </w:r>
          </w:p>
        </w:tc>
        <w:tc>
          <w:tcPr>
            <w:tcW w:w="5725" w:type="dxa"/>
            <w:noWrap w:val="0"/>
            <w:vAlign w:val="center"/>
          </w:tcPr>
          <w:p>
            <w:pPr>
              <w:pStyle w:val="6"/>
              <w:spacing w:line="380" w:lineRule="exact"/>
              <w:jc w:val="left"/>
              <w:rPr>
                <w:rFonts w:hint="eastAsia" w:hAnsi="宋体" w:cs="宋体"/>
                <w:color w:val="auto"/>
                <w:highlight w:val="none"/>
              </w:rPr>
            </w:pPr>
            <w:r>
              <w:rPr>
                <w:rFonts w:hint="eastAsia" w:hAnsi="宋体"/>
                <w:color w:val="auto"/>
                <w:highlight w:val="none"/>
              </w:rPr>
              <w:t>服务及进度保证措施不够具体，可实施性一般，得6分；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color w:val="auto"/>
                <w:highlight w:val="none"/>
              </w:rPr>
            </w:pPr>
          </w:p>
        </w:tc>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color w:val="auto"/>
                <w:highlight w:val="none"/>
              </w:rPr>
            </w:pPr>
          </w:p>
        </w:tc>
        <w:tc>
          <w:tcPr>
            <w:tcW w:w="624" w:type="dxa"/>
            <w:vMerge w:val="continue"/>
            <w:tcBorders>
              <w:top w:val="single" w:color="auto" w:sz="4" w:space="0"/>
            </w:tcBorders>
            <w:noWrap w:val="0"/>
            <w:vAlign w:val="center"/>
          </w:tcPr>
          <w:p>
            <w:pPr>
              <w:pStyle w:val="6"/>
              <w:snapToGrid w:val="0"/>
              <w:spacing w:line="320" w:lineRule="exact"/>
              <w:jc w:val="center"/>
              <w:rPr>
                <w:rFonts w:hAnsi="宋体"/>
                <w:color w:val="auto"/>
                <w:highlight w:val="none"/>
              </w:rPr>
            </w:pPr>
          </w:p>
        </w:tc>
        <w:tc>
          <w:tcPr>
            <w:tcW w:w="1134" w:type="dxa"/>
            <w:vMerge w:val="continue"/>
            <w:noWrap w:val="0"/>
            <w:vAlign w:val="top"/>
          </w:tcPr>
          <w:p>
            <w:pPr>
              <w:pStyle w:val="6"/>
              <w:spacing w:line="160" w:lineRule="atLeast"/>
              <w:jc w:val="center"/>
              <w:rPr>
                <w:rFonts w:hint="eastAsia" w:hAnsi="宋体" w:cs="宋体"/>
                <w:color w:val="auto"/>
                <w:highlight w:val="none"/>
              </w:rPr>
            </w:pPr>
          </w:p>
        </w:tc>
        <w:tc>
          <w:tcPr>
            <w:tcW w:w="687" w:type="dxa"/>
            <w:vMerge w:val="continue"/>
            <w:noWrap w:val="0"/>
            <w:vAlign w:val="center"/>
          </w:tcPr>
          <w:p>
            <w:pPr>
              <w:pStyle w:val="6"/>
              <w:spacing w:line="160" w:lineRule="atLeast"/>
              <w:jc w:val="center"/>
              <w:rPr>
                <w:rFonts w:hAnsi="宋体" w:cs="宋体"/>
                <w:color w:val="auto"/>
                <w:highlight w:val="none"/>
              </w:rPr>
            </w:pPr>
          </w:p>
        </w:tc>
        <w:tc>
          <w:tcPr>
            <w:tcW w:w="5725" w:type="dxa"/>
            <w:noWrap w:val="0"/>
            <w:vAlign w:val="center"/>
          </w:tcPr>
          <w:p>
            <w:pPr>
              <w:pStyle w:val="6"/>
              <w:spacing w:line="380" w:lineRule="exact"/>
              <w:jc w:val="left"/>
              <w:rPr>
                <w:rFonts w:hint="eastAsia" w:hAnsi="宋体" w:cs="宋体"/>
                <w:color w:val="auto"/>
                <w:highlight w:val="none"/>
              </w:rPr>
            </w:pPr>
            <w:r>
              <w:rPr>
                <w:rFonts w:hint="eastAsia" w:hAnsi="宋体"/>
                <w:color w:val="auto"/>
                <w:highlight w:val="none"/>
              </w:rPr>
              <w:t>服务及进度保证措施较具体，可实施性较强，得6－8分；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color w:val="auto"/>
                <w:highlight w:val="none"/>
              </w:rPr>
            </w:pPr>
          </w:p>
        </w:tc>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color w:val="auto"/>
                <w:highlight w:val="none"/>
              </w:rPr>
            </w:pPr>
          </w:p>
        </w:tc>
        <w:tc>
          <w:tcPr>
            <w:tcW w:w="624" w:type="dxa"/>
            <w:vMerge w:val="continue"/>
            <w:tcBorders>
              <w:top w:val="single" w:color="auto" w:sz="4" w:space="0"/>
            </w:tcBorders>
            <w:noWrap w:val="0"/>
            <w:vAlign w:val="center"/>
          </w:tcPr>
          <w:p>
            <w:pPr>
              <w:pStyle w:val="6"/>
              <w:snapToGrid w:val="0"/>
              <w:spacing w:line="320" w:lineRule="exact"/>
              <w:jc w:val="center"/>
              <w:rPr>
                <w:rFonts w:hAnsi="宋体"/>
                <w:color w:val="auto"/>
                <w:highlight w:val="none"/>
              </w:rPr>
            </w:pPr>
          </w:p>
        </w:tc>
        <w:tc>
          <w:tcPr>
            <w:tcW w:w="1134" w:type="dxa"/>
            <w:vMerge w:val="continue"/>
            <w:noWrap w:val="0"/>
            <w:vAlign w:val="top"/>
          </w:tcPr>
          <w:p>
            <w:pPr>
              <w:pStyle w:val="6"/>
              <w:spacing w:line="160" w:lineRule="atLeast"/>
              <w:jc w:val="center"/>
              <w:rPr>
                <w:rFonts w:hint="eastAsia" w:hAnsi="宋体" w:cs="宋体"/>
                <w:color w:val="auto"/>
                <w:highlight w:val="none"/>
              </w:rPr>
            </w:pPr>
          </w:p>
        </w:tc>
        <w:tc>
          <w:tcPr>
            <w:tcW w:w="687" w:type="dxa"/>
            <w:vMerge w:val="continue"/>
            <w:noWrap w:val="0"/>
            <w:vAlign w:val="center"/>
          </w:tcPr>
          <w:p>
            <w:pPr>
              <w:pStyle w:val="6"/>
              <w:spacing w:line="160" w:lineRule="atLeast"/>
              <w:jc w:val="center"/>
              <w:rPr>
                <w:rFonts w:hAnsi="宋体" w:cs="宋体"/>
                <w:color w:val="auto"/>
                <w:highlight w:val="none"/>
              </w:rPr>
            </w:pPr>
          </w:p>
        </w:tc>
        <w:tc>
          <w:tcPr>
            <w:tcW w:w="5725" w:type="dxa"/>
            <w:noWrap w:val="0"/>
            <w:vAlign w:val="center"/>
          </w:tcPr>
          <w:p>
            <w:pPr>
              <w:pStyle w:val="6"/>
              <w:spacing w:line="380" w:lineRule="exact"/>
              <w:jc w:val="left"/>
              <w:rPr>
                <w:rFonts w:hint="eastAsia" w:hAnsi="宋体" w:cs="宋体"/>
                <w:color w:val="auto"/>
                <w:highlight w:val="none"/>
              </w:rPr>
            </w:pPr>
            <w:r>
              <w:rPr>
                <w:rFonts w:hint="eastAsia" w:hAnsi="宋体"/>
                <w:color w:val="auto"/>
                <w:spacing w:val="-10"/>
                <w:highlight w:val="none"/>
              </w:rPr>
              <w:t>服务及进度保证措施具体可靠，可实施性强，适合本项目，得8－10分。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color w:val="auto"/>
                <w:highlight w:val="none"/>
              </w:rPr>
            </w:pPr>
          </w:p>
        </w:tc>
        <w:tc>
          <w:tcPr>
            <w:tcW w:w="741" w:type="dxa"/>
            <w:vMerge w:val="continue"/>
            <w:tcBorders>
              <w:top w:val="single" w:color="auto" w:sz="4" w:space="0"/>
            </w:tcBorders>
            <w:noWrap w:val="0"/>
            <w:vAlign w:val="center"/>
          </w:tcPr>
          <w:p>
            <w:pPr>
              <w:pStyle w:val="6"/>
              <w:snapToGrid w:val="0"/>
              <w:spacing w:line="320" w:lineRule="exact"/>
              <w:jc w:val="center"/>
              <w:rPr>
                <w:rFonts w:hint="eastAsia" w:hAnsi="宋体"/>
                <w:color w:val="auto"/>
                <w:highlight w:val="none"/>
              </w:rPr>
            </w:pPr>
          </w:p>
        </w:tc>
        <w:tc>
          <w:tcPr>
            <w:tcW w:w="624" w:type="dxa"/>
            <w:vMerge w:val="continue"/>
            <w:tcBorders>
              <w:top w:val="single" w:color="auto" w:sz="4" w:space="0"/>
            </w:tcBorders>
            <w:noWrap w:val="0"/>
            <w:vAlign w:val="center"/>
          </w:tcPr>
          <w:p>
            <w:pPr>
              <w:pStyle w:val="6"/>
              <w:snapToGrid w:val="0"/>
              <w:spacing w:line="320" w:lineRule="exact"/>
              <w:jc w:val="center"/>
              <w:rPr>
                <w:rFonts w:hAnsi="宋体"/>
                <w:color w:val="auto"/>
                <w:highlight w:val="none"/>
              </w:rPr>
            </w:pPr>
          </w:p>
        </w:tc>
        <w:tc>
          <w:tcPr>
            <w:tcW w:w="1134" w:type="dxa"/>
            <w:vMerge w:val="restart"/>
            <w:tcBorders>
              <w:top w:val="single" w:color="auto" w:sz="4" w:space="0"/>
            </w:tcBorders>
            <w:noWrap w:val="0"/>
            <w:vAlign w:val="center"/>
          </w:tcPr>
          <w:p>
            <w:pPr>
              <w:pStyle w:val="6"/>
              <w:spacing w:line="160" w:lineRule="atLeast"/>
              <w:jc w:val="center"/>
              <w:rPr>
                <w:rFonts w:hint="eastAsia" w:hAnsi="宋体" w:cs="宋体"/>
                <w:color w:val="auto"/>
                <w:highlight w:val="none"/>
              </w:rPr>
            </w:pPr>
            <w:r>
              <w:rPr>
                <w:rFonts w:hint="eastAsia" w:hAnsi="宋体"/>
                <w:color w:val="auto"/>
                <w:highlight w:val="none"/>
              </w:rPr>
              <w:t>后续服务的承诺及保证措施</w:t>
            </w:r>
          </w:p>
        </w:tc>
        <w:tc>
          <w:tcPr>
            <w:tcW w:w="687" w:type="dxa"/>
            <w:vMerge w:val="restart"/>
            <w:noWrap w:val="0"/>
            <w:vAlign w:val="center"/>
          </w:tcPr>
          <w:p>
            <w:pPr>
              <w:pStyle w:val="6"/>
              <w:spacing w:line="160" w:lineRule="atLeast"/>
              <w:jc w:val="center"/>
              <w:rPr>
                <w:rFonts w:hAnsi="宋体" w:cs="宋体"/>
                <w:color w:val="auto"/>
                <w:highlight w:val="none"/>
              </w:rPr>
            </w:pPr>
            <w:r>
              <w:rPr>
                <w:rFonts w:hint="eastAsia" w:hAnsi="宋体"/>
                <w:color w:val="auto"/>
                <w:highlight w:val="none"/>
              </w:rPr>
              <w:t>5分</w:t>
            </w:r>
          </w:p>
        </w:tc>
        <w:tc>
          <w:tcPr>
            <w:tcW w:w="5725" w:type="dxa"/>
            <w:noWrap w:val="0"/>
            <w:vAlign w:val="center"/>
          </w:tcPr>
          <w:p>
            <w:pPr>
              <w:spacing w:line="380" w:lineRule="exact"/>
              <w:jc w:val="left"/>
              <w:rPr>
                <w:rFonts w:hint="eastAsia" w:ascii="宋体" w:hAnsi="宋体" w:cs="宋体"/>
                <w:color w:val="auto"/>
                <w:szCs w:val="21"/>
                <w:highlight w:val="none"/>
              </w:rPr>
            </w:pPr>
            <w:r>
              <w:rPr>
                <w:rFonts w:hint="eastAsia" w:ascii="宋体" w:hAnsi="宋体"/>
                <w:color w:val="auto"/>
                <w:szCs w:val="21"/>
                <w:highlight w:val="none"/>
              </w:rPr>
              <w:t>投标人对于后续服务的承诺及保证措施安排一般，得3分；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41" w:type="dxa"/>
            <w:vMerge w:val="continue"/>
            <w:noWrap w:val="0"/>
            <w:vAlign w:val="center"/>
          </w:tcPr>
          <w:p>
            <w:pPr>
              <w:pStyle w:val="6"/>
              <w:snapToGrid w:val="0"/>
              <w:spacing w:line="320" w:lineRule="exact"/>
              <w:jc w:val="center"/>
              <w:rPr>
                <w:rFonts w:hint="eastAsia" w:hAnsi="宋体"/>
                <w:color w:val="auto"/>
                <w:highlight w:val="none"/>
              </w:rPr>
            </w:pPr>
          </w:p>
        </w:tc>
        <w:tc>
          <w:tcPr>
            <w:tcW w:w="741" w:type="dxa"/>
            <w:vMerge w:val="continue"/>
            <w:noWrap w:val="0"/>
            <w:vAlign w:val="center"/>
          </w:tcPr>
          <w:p>
            <w:pPr>
              <w:pStyle w:val="6"/>
              <w:snapToGrid w:val="0"/>
              <w:spacing w:line="320" w:lineRule="exact"/>
              <w:jc w:val="center"/>
              <w:rPr>
                <w:rFonts w:hint="eastAsia" w:hAnsi="宋体"/>
                <w:color w:val="auto"/>
                <w:highlight w:val="none"/>
              </w:rPr>
            </w:pPr>
          </w:p>
        </w:tc>
        <w:tc>
          <w:tcPr>
            <w:tcW w:w="624" w:type="dxa"/>
            <w:vMerge w:val="continue"/>
            <w:noWrap w:val="0"/>
            <w:vAlign w:val="center"/>
          </w:tcPr>
          <w:p>
            <w:pPr>
              <w:pStyle w:val="6"/>
              <w:snapToGrid w:val="0"/>
              <w:spacing w:line="320" w:lineRule="exact"/>
              <w:jc w:val="center"/>
              <w:rPr>
                <w:rFonts w:hAnsi="宋体"/>
                <w:color w:val="auto"/>
                <w:highlight w:val="none"/>
              </w:rPr>
            </w:pPr>
          </w:p>
        </w:tc>
        <w:tc>
          <w:tcPr>
            <w:tcW w:w="1134" w:type="dxa"/>
            <w:vMerge w:val="continue"/>
            <w:noWrap w:val="0"/>
            <w:vAlign w:val="center"/>
          </w:tcPr>
          <w:p>
            <w:pPr>
              <w:pStyle w:val="6"/>
              <w:spacing w:line="160" w:lineRule="atLeast"/>
              <w:jc w:val="center"/>
              <w:rPr>
                <w:rFonts w:hint="eastAsia" w:hAnsi="宋体" w:cs="宋体"/>
                <w:color w:val="auto"/>
                <w:highlight w:val="none"/>
              </w:rPr>
            </w:pPr>
          </w:p>
        </w:tc>
        <w:tc>
          <w:tcPr>
            <w:tcW w:w="687" w:type="dxa"/>
            <w:vMerge w:val="continue"/>
            <w:noWrap w:val="0"/>
            <w:vAlign w:val="center"/>
          </w:tcPr>
          <w:p>
            <w:pPr>
              <w:pStyle w:val="6"/>
              <w:spacing w:line="160" w:lineRule="atLeast"/>
              <w:jc w:val="center"/>
              <w:rPr>
                <w:rFonts w:hAnsi="宋体" w:cs="宋体"/>
                <w:color w:val="auto"/>
                <w:highlight w:val="none"/>
              </w:rPr>
            </w:pPr>
          </w:p>
        </w:tc>
        <w:tc>
          <w:tcPr>
            <w:tcW w:w="5725" w:type="dxa"/>
            <w:noWrap w:val="0"/>
            <w:vAlign w:val="center"/>
          </w:tcPr>
          <w:p>
            <w:pPr>
              <w:spacing w:line="380" w:lineRule="exact"/>
              <w:jc w:val="left"/>
              <w:rPr>
                <w:rFonts w:hint="eastAsia" w:ascii="宋体" w:hAnsi="宋体" w:cs="宋体"/>
                <w:color w:val="auto"/>
                <w:szCs w:val="21"/>
                <w:highlight w:val="none"/>
              </w:rPr>
            </w:pPr>
            <w:r>
              <w:rPr>
                <w:rFonts w:hint="eastAsia" w:ascii="宋体" w:hAnsi="宋体"/>
                <w:color w:val="auto"/>
                <w:szCs w:val="21"/>
                <w:highlight w:val="none"/>
              </w:rPr>
              <w:t>投标人对于后续服务的承诺及保证措施安排较完善，得3</w:t>
            </w:r>
            <w:r>
              <w:rPr>
                <w:rFonts w:ascii="宋体" w:hAnsi="宋体"/>
                <w:color w:val="auto"/>
                <w:szCs w:val="21"/>
                <w:highlight w:val="none"/>
              </w:rPr>
              <w:t>-</w:t>
            </w:r>
            <w:r>
              <w:rPr>
                <w:rFonts w:hint="eastAsia" w:ascii="宋体" w:hAnsi="宋体"/>
                <w:color w:val="auto"/>
                <w:szCs w:val="21"/>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41" w:type="dxa"/>
            <w:vMerge w:val="continue"/>
            <w:noWrap w:val="0"/>
            <w:vAlign w:val="center"/>
          </w:tcPr>
          <w:p>
            <w:pPr>
              <w:pStyle w:val="6"/>
              <w:snapToGrid w:val="0"/>
              <w:spacing w:line="320" w:lineRule="exact"/>
              <w:jc w:val="center"/>
              <w:rPr>
                <w:rFonts w:hint="eastAsia" w:hAnsi="宋体"/>
                <w:color w:val="auto"/>
                <w:highlight w:val="none"/>
              </w:rPr>
            </w:pPr>
          </w:p>
        </w:tc>
        <w:tc>
          <w:tcPr>
            <w:tcW w:w="741" w:type="dxa"/>
            <w:vMerge w:val="continue"/>
            <w:noWrap w:val="0"/>
            <w:vAlign w:val="center"/>
          </w:tcPr>
          <w:p>
            <w:pPr>
              <w:pStyle w:val="6"/>
              <w:snapToGrid w:val="0"/>
              <w:spacing w:line="320" w:lineRule="exact"/>
              <w:jc w:val="center"/>
              <w:rPr>
                <w:rFonts w:hint="eastAsia" w:hAnsi="宋体"/>
                <w:color w:val="auto"/>
                <w:highlight w:val="none"/>
              </w:rPr>
            </w:pPr>
          </w:p>
        </w:tc>
        <w:tc>
          <w:tcPr>
            <w:tcW w:w="624" w:type="dxa"/>
            <w:vMerge w:val="continue"/>
            <w:noWrap w:val="0"/>
            <w:vAlign w:val="center"/>
          </w:tcPr>
          <w:p>
            <w:pPr>
              <w:pStyle w:val="6"/>
              <w:snapToGrid w:val="0"/>
              <w:spacing w:line="320" w:lineRule="exact"/>
              <w:jc w:val="center"/>
              <w:rPr>
                <w:rFonts w:hAnsi="宋体"/>
                <w:color w:val="auto"/>
                <w:highlight w:val="none"/>
              </w:rPr>
            </w:pPr>
          </w:p>
        </w:tc>
        <w:tc>
          <w:tcPr>
            <w:tcW w:w="1134" w:type="dxa"/>
            <w:vMerge w:val="continue"/>
            <w:noWrap w:val="0"/>
            <w:vAlign w:val="center"/>
          </w:tcPr>
          <w:p>
            <w:pPr>
              <w:pStyle w:val="6"/>
              <w:spacing w:line="160" w:lineRule="atLeast"/>
              <w:jc w:val="center"/>
              <w:rPr>
                <w:rFonts w:hint="eastAsia" w:hAnsi="宋体" w:cs="宋体"/>
                <w:color w:val="auto"/>
                <w:highlight w:val="none"/>
              </w:rPr>
            </w:pPr>
          </w:p>
        </w:tc>
        <w:tc>
          <w:tcPr>
            <w:tcW w:w="687" w:type="dxa"/>
            <w:vMerge w:val="continue"/>
            <w:noWrap w:val="0"/>
            <w:vAlign w:val="center"/>
          </w:tcPr>
          <w:p>
            <w:pPr>
              <w:pStyle w:val="6"/>
              <w:spacing w:line="160" w:lineRule="atLeast"/>
              <w:jc w:val="center"/>
              <w:rPr>
                <w:rFonts w:hAnsi="宋体" w:cs="宋体"/>
                <w:color w:val="auto"/>
                <w:highlight w:val="none"/>
              </w:rPr>
            </w:pPr>
          </w:p>
        </w:tc>
        <w:tc>
          <w:tcPr>
            <w:tcW w:w="5725" w:type="dxa"/>
            <w:noWrap w:val="0"/>
            <w:vAlign w:val="center"/>
          </w:tcPr>
          <w:p>
            <w:pPr>
              <w:spacing w:line="380" w:lineRule="exact"/>
              <w:jc w:val="left"/>
              <w:rPr>
                <w:rFonts w:hint="eastAsia" w:ascii="宋体" w:hAnsi="宋体" w:cs="宋体"/>
                <w:color w:val="auto"/>
                <w:szCs w:val="21"/>
                <w:highlight w:val="none"/>
              </w:rPr>
            </w:pPr>
            <w:r>
              <w:rPr>
                <w:rFonts w:hint="eastAsia" w:ascii="宋体" w:hAnsi="宋体"/>
                <w:color w:val="auto"/>
                <w:szCs w:val="21"/>
                <w:highlight w:val="none"/>
              </w:rPr>
              <w:t>投标人对于后续服务的承诺及保证措施安排完善合理，得4－5分。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1" w:type="dxa"/>
            <w:vMerge w:val="restart"/>
            <w:tcBorders>
              <w:top w:val="single" w:color="auto" w:sz="4" w:space="0"/>
            </w:tcBorders>
            <w:noWrap w:val="0"/>
            <w:vAlign w:val="center"/>
          </w:tcPr>
          <w:p>
            <w:pPr>
              <w:pStyle w:val="6"/>
              <w:spacing w:line="160" w:lineRule="atLeast"/>
              <w:jc w:val="center"/>
              <w:rPr>
                <w:rFonts w:hint="eastAsia" w:hAnsi="宋体"/>
                <w:color w:val="auto"/>
                <w:highlight w:val="none"/>
              </w:rPr>
            </w:pPr>
            <w:r>
              <w:rPr>
                <w:rFonts w:hint="eastAsia" w:hAnsi="宋体"/>
                <w:color w:val="auto"/>
                <w:highlight w:val="none"/>
              </w:rPr>
              <w:t>2.2.4（2）</w:t>
            </w:r>
          </w:p>
        </w:tc>
        <w:tc>
          <w:tcPr>
            <w:tcW w:w="741" w:type="dxa"/>
            <w:vMerge w:val="restart"/>
            <w:tcBorders>
              <w:top w:val="single" w:color="auto" w:sz="4" w:space="0"/>
            </w:tcBorders>
            <w:noWrap w:val="0"/>
            <w:vAlign w:val="center"/>
          </w:tcPr>
          <w:p>
            <w:pPr>
              <w:pStyle w:val="6"/>
              <w:spacing w:line="160" w:lineRule="atLeast"/>
              <w:jc w:val="center"/>
              <w:rPr>
                <w:rFonts w:hint="eastAsia" w:hAnsi="宋体"/>
                <w:color w:val="auto"/>
                <w:highlight w:val="none"/>
              </w:rPr>
            </w:pPr>
            <w:r>
              <w:rPr>
                <w:rFonts w:hint="eastAsia" w:hAnsi="宋体"/>
                <w:color w:val="auto"/>
                <w:highlight w:val="none"/>
              </w:rPr>
              <w:t>主要人员</w:t>
            </w:r>
          </w:p>
        </w:tc>
        <w:tc>
          <w:tcPr>
            <w:tcW w:w="624" w:type="dxa"/>
            <w:vMerge w:val="restart"/>
            <w:tcBorders>
              <w:top w:val="single" w:color="auto" w:sz="4" w:space="0"/>
            </w:tcBorders>
            <w:noWrap w:val="0"/>
            <w:vAlign w:val="center"/>
          </w:tcPr>
          <w:p>
            <w:pPr>
              <w:pStyle w:val="6"/>
              <w:spacing w:line="160" w:lineRule="atLeast"/>
              <w:jc w:val="center"/>
              <w:rPr>
                <w:rFonts w:hAnsi="宋体"/>
                <w:color w:val="auto"/>
                <w:highlight w:val="none"/>
              </w:rPr>
            </w:pPr>
            <w:r>
              <w:rPr>
                <w:rFonts w:hint="eastAsia" w:hAnsi="宋体"/>
                <w:color w:val="auto"/>
                <w:highlight w:val="none"/>
              </w:rPr>
              <w:t>15分</w:t>
            </w:r>
          </w:p>
        </w:tc>
        <w:tc>
          <w:tcPr>
            <w:tcW w:w="1134" w:type="dxa"/>
            <w:vMerge w:val="restart"/>
            <w:tcBorders>
              <w:top w:val="single" w:color="auto" w:sz="4" w:space="0"/>
            </w:tcBorders>
            <w:noWrap w:val="0"/>
            <w:vAlign w:val="center"/>
          </w:tcPr>
          <w:p>
            <w:pPr>
              <w:pStyle w:val="6"/>
              <w:spacing w:line="160" w:lineRule="atLeast"/>
              <w:jc w:val="center"/>
              <w:rPr>
                <w:rFonts w:hint="eastAsia" w:hAnsi="宋体" w:cs="宋体"/>
                <w:color w:val="auto"/>
                <w:highlight w:val="none"/>
              </w:rPr>
            </w:pPr>
            <w:r>
              <w:rPr>
                <w:rFonts w:hAnsi="宋体"/>
                <w:color w:val="auto"/>
                <w:highlight w:val="none"/>
              </w:rPr>
              <w:t>项目负责人任职资格与业绩</w:t>
            </w:r>
          </w:p>
        </w:tc>
        <w:tc>
          <w:tcPr>
            <w:tcW w:w="687" w:type="dxa"/>
            <w:vMerge w:val="restart"/>
            <w:noWrap w:val="0"/>
            <w:vAlign w:val="center"/>
          </w:tcPr>
          <w:p>
            <w:pPr>
              <w:pStyle w:val="6"/>
              <w:spacing w:line="160" w:lineRule="atLeast"/>
              <w:jc w:val="center"/>
              <w:rPr>
                <w:rFonts w:hAnsi="宋体" w:cs="宋体"/>
                <w:color w:val="auto"/>
                <w:highlight w:val="none"/>
              </w:rPr>
            </w:pPr>
            <w:r>
              <w:rPr>
                <w:rFonts w:hAnsi="宋体"/>
                <w:color w:val="auto"/>
                <w:highlight w:val="none"/>
              </w:rPr>
              <w:t>15</w:t>
            </w:r>
            <w:r>
              <w:rPr>
                <w:rFonts w:hint="eastAsia" w:hAnsi="宋体"/>
                <w:color w:val="auto"/>
                <w:highlight w:val="none"/>
              </w:rPr>
              <w:t>分</w:t>
            </w:r>
          </w:p>
        </w:tc>
        <w:tc>
          <w:tcPr>
            <w:tcW w:w="5725" w:type="dxa"/>
            <w:noWrap w:val="0"/>
            <w:vAlign w:val="center"/>
          </w:tcPr>
          <w:p>
            <w:pPr>
              <w:spacing w:line="380" w:lineRule="exact"/>
              <w:jc w:val="left"/>
              <w:rPr>
                <w:rFonts w:hint="eastAsia" w:ascii="宋体" w:hAnsi="宋体" w:cs="宋体"/>
                <w:color w:val="auto"/>
                <w:szCs w:val="21"/>
                <w:highlight w:val="none"/>
              </w:rPr>
            </w:pPr>
            <w:r>
              <w:rPr>
                <w:rFonts w:hint="eastAsia" w:ascii="宋体" w:hAnsi="宋体"/>
                <w:color w:val="auto"/>
                <w:szCs w:val="21"/>
                <w:highlight w:val="none"/>
              </w:rPr>
              <w:t>满足</w:t>
            </w:r>
            <w:r>
              <w:rPr>
                <w:rFonts w:hint="eastAsia" w:ascii="宋体" w:hAnsi="宋体"/>
                <w:color w:val="auto"/>
                <w:szCs w:val="21"/>
                <w:highlight w:val="none"/>
                <w:lang w:val="en-US" w:eastAsia="zh-CN"/>
              </w:rPr>
              <w:t>附录4</w:t>
            </w:r>
            <w:r>
              <w:rPr>
                <w:rFonts w:hint="eastAsia" w:ascii="宋体" w:hAnsi="宋体"/>
                <w:color w:val="auto"/>
                <w:szCs w:val="21"/>
                <w:highlight w:val="none"/>
              </w:rPr>
              <w:t>资格审查条件（项目负责人最低要求）的，得</w:t>
            </w:r>
            <w:r>
              <w:rPr>
                <w:rFonts w:ascii="宋体" w:hAnsi="宋体"/>
                <w:color w:val="auto"/>
                <w:szCs w:val="21"/>
                <w:highlight w:val="none"/>
              </w:rPr>
              <w:t>9</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41" w:type="dxa"/>
            <w:vMerge w:val="continue"/>
            <w:noWrap w:val="0"/>
            <w:vAlign w:val="center"/>
          </w:tcPr>
          <w:p>
            <w:pPr>
              <w:pStyle w:val="6"/>
              <w:snapToGrid w:val="0"/>
              <w:spacing w:line="320" w:lineRule="exact"/>
              <w:jc w:val="center"/>
              <w:rPr>
                <w:rFonts w:hint="eastAsia" w:hAnsi="宋体"/>
                <w:color w:val="auto"/>
                <w:highlight w:val="none"/>
              </w:rPr>
            </w:pPr>
          </w:p>
        </w:tc>
        <w:tc>
          <w:tcPr>
            <w:tcW w:w="741" w:type="dxa"/>
            <w:vMerge w:val="continue"/>
            <w:noWrap w:val="0"/>
            <w:vAlign w:val="center"/>
          </w:tcPr>
          <w:p>
            <w:pPr>
              <w:pStyle w:val="6"/>
              <w:snapToGrid w:val="0"/>
              <w:spacing w:line="320" w:lineRule="exact"/>
              <w:jc w:val="center"/>
              <w:rPr>
                <w:rFonts w:hint="eastAsia" w:hAnsi="宋体"/>
                <w:color w:val="auto"/>
                <w:highlight w:val="none"/>
              </w:rPr>
            </w:pPr>
          </w:p>
        </w:tc>
        <w:tc>
          <w:tcPr>
            <w:tcW w:w="624" w:type="dxa"/>
            <w:vMerge w:val="continue"/>
            <w:noWrap w:val="0"/>
            <w:vAlign w:val="center"/>
          </w:tcPr>
          <w:p>
            <w:pPr>
              <w:pStyle w:val="6"/>
              <w:snapToGrid w:val="0"/>
              <w:spacing w:line="320" w:lineRule="exact"/>
              <w:jc w:val="center"/>
              <w:rPr>
                <w:rFonts w:hAnsi="宋体"/>
                <w:color w:val="auto"/>
                <w:highlight w:val="none"/>
              </w:rPr>
            </w:pPr>
          </w:p>
        </w:tc>
        <w:tc>
          <w:tcPr>
            <w:tcW w:w="1134" w:type="dxa"/>
            <w:vMerge w:val="continue"/>
            <w:noWrap w:val="0"/>
            <w:vAlign w:val="center"/>
          </w:tcPr>
          <w:p>
            <w:pPr>
              <w:pStyle w:val="6"/>
              <w:spacing w:line="160" w:lineRule="atLeast"/>
              <w:jc w:val="center"/>
              <w:rPr>
                <w:rFonts w:hint="eastAsia" w:hAnsi="宋体" w:cs="宋体"/>
                <w:color w:val="auto"/>
                <w:highlight w:val="none"/>
              </w:rPr>
            </w:pPr>
          </w:p>
        </w:tc>
        <w:tc>
          <w:tcPr>
            <w:tcW w:w="687" w:type="dxa"/>
            <w:vMerge w:val="continue"/>
            <w:noWrap w:val="0"/>
            <w:vAlign w:val="center"/>
          </w:tcPr>
          <w:p>
            <w:pPr>
              <w:pStyle w:val="6"/>
              <w:spacing w:line="160" w:lineRule="atLeast"/>
              <w:jc w:val="center"/>
              <w:rPr>
                <w:rFonts w:hAnsi="宋体" w:cs="宋体"/>
                <w:color w:val="auto"/>
                <w:highlight w:val="none"/>
              </w:rPr>
            </w:pPr>
          </w:p>
        </w:tc>
        <w:tc>
          <w:tcPr>
            <w:tcW w:w="5725" w:type="dxa"/>
            <w:noWrap w:val="0"/>
            <w:vAlign w:val="center"/>
          </w:tcPr>
          <w:p>
            <w:pPr>
              <w:spacing w:line="380" w:lineRule="exact"/>
              <w:jc w:val="left"/>
              <w:rPr>
                <w:rFonts w:hint="eastAsia" w:ascii="宋体" w:hAnsi="宋体" w:cs="宋体"/>
                <w:color w:val="auto"/>
                <w:szCs w:val="21"/>
                <w:highlight w:val="none"/>
              </w:rPr>
            </w:pPr>
            <w:r>
              <w:rPr>
                <w:rFonts w:hint="eastAsia" w:ascii="宋体" w:hAnsi="宋体"/>
                <w:color w:val="auto"/>
                <w:szCs w:val="21"/>
                <w:highlight w:val="none"/>
              </w:rPr>
              <w:t>每增加</w:t>
            </w:r>
            <w:r>
              <w:rPr>
                <w:rFonts w:hint="eastAsia" w:ascii="宋体" w:hAnsi="宋体"/>
                <w:color w:val="auto"/>
                <w:szCs w:val="21"/>
                <w:highlight w:val="none"/>
                <w:lang w:val="en-US" w:eastAsia="zh-CN"/>
              </w:rPr>
              <w:t>1</w:t>
            </w:r>
            <w:r>
              <w:rPr>
                <w:rFonts w:hint="eastAsia" w:ascii="宋体" w:hAnsi="宋体"/>
                <w:color w:val="auto"/>
                <w:szCs w:val="21"/>
                <w:highlight w:val="none"/>
              </w:rPr>
              <w:t>项满足</w:t>
            </w:r>
            <w:r>
              <w:rPr>
                <w:rFonts w:hint="eastAsia" w:ascii="宋体" w:hAnsi="宋体"/>
                <w:color w:val="auto"/>
                <w:szCs w:val="21"/>
                <w:highlight w:val="none"/>
                <w:lang w:val="en-US" w:eastAsia="zh-CN"/>
              </w:rPr>
              <w:t>附录4</w:t>
            </w:r>
            <w:r>
              <w:rPr>
                <w:rFonts w:hint="eastAsia" w:ascii="宋体" w:hAnsi="宋体"/>
                <w:color w:val="auto"/>
                <w:szCs w:val="21"/>
                <w:highlight w:val="none"/>
              </w:rPr>
              <w:t>资格审查条件（项目负责人最低要求）的业绩加3分，本项最多加6分。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41" w:type="dxa"/>
            <w:tcBorders>
              <w:top w:val="nil"/>
            </w:tcBorders>
            <w:noWrap w:val="0"/>
            <w:vAlign w:val="center"/>
          </w:tcPr>
          <w:p>
            <w:pPr>
              <w:pStyle w:val="6"/>
              <w:snapToGrid w:val="0"/>
              <w:spacing w:line="320" w:lineRule="exact"/>
              <w:jc w:val="center"/>
              <w:rPr>
                <w:rFonts w:hAnsi="宋体"/>
                <w:color w:val="auto"/>
                <w:highlight w:val="none"/>
              </w:rPr>
            </w:pPr>
            <w:r>
              <w:rPr>
                <w:rFonts w:hint="eastAsia" w:hAnsi="宋体"/>
                <w:color w:val="auto"/>
                <w:highlight w:val="none"/>
              </w:rPr>
              <w:t>2.2.4（3）</w:t>
            </w:r>
          </w:p>
        </w:tc>
        <w:tc>
          <w:tcPr>
            <w:tcW w:w="741" w:type="dxa"/>
            <w:tcBorders>
              <w:top w:val="nil"/>
            </w:tcBorders>
            <w:noWrap w:val="0"/>
            <w:vAlign w:val="center"/>
          </w:tcPr>
          <w:p>
            <w:pPr>
              <w:pStyle w:val="6"/>
              <w:snapToGrid w:val="0"/>
              <w:spacing w:line="320" w:lineRule="exact"/>
              <w:jc w:val="center"/>
              <w:rPr>
                <w:rFonts w:hAnsi="宋体"/>
                <w:color w:val="auto"/>
                <w:highlight w:val="none"/>
              </w:rPr>
            </w:pPr>
            <w:r>
              <w:rPr>
                <w:rFonts w:hint="eastAsia" w:hAnsi="宋体"/>
                <w:color w:val="auto"/>
                <w:highlight w:val="none"/>
              </w:rPr>
              <w:t>评标价</w:t>
            </w:r>
          </w:p>
        </w:tc>
        <w:tc>
          <w:tcPr>
            <w:tcW w:w="624" w:type="dxa"/>
            <w:tcBorders>
              <w:top w:val="nil"/>
              <w:bottom w:val="single" w:color="auto" w:sz="4" w:space="0"/>
            </w:tcBorders>
            <w:noWrap w:val="0"/>
            <w:vAlign w:val="center"/>
          </w:tcPr>
          <w:p>
            <w:pPr>
              <w:pStyle w:val="6"/>
              <w:snapToGrid w:val="0"/>
              <w:spacing w:line="320" w:lineRule="exact"/>
              <w:jc w:val="center"/>
              <w:rPr>
                <w:rFonts w:hAnsi="宋体"/>
                <w:color w:val="auto"/>
                <w:highlight w:val="none"/>
              </w:rPr>
            </w:pPr>
            <w:r>
              <w:rPr>
                <w:rFonts w:hint="eastAsia" w:hAnsi="宋体"/>
                <w:color w:val="auto"/>
                <w:highlight w:val="none"/>
              </w:rPr>
              <w:t>30分</w:t>
            </w:r>
          </w:p>
        </w:tc>
        <w:tc>
          <w:tcPr>
            <w:tcW w:w="7546" w:type="dxa"/>
            <w:gridSpan w:val="3"/>
            <w:tcBorders>
              <w:bottom w:val="single" w:color="auto" w:sz="4" w:space="0"/>
            </w:tcBorders>
            <w:noWrap w:val="0"/>
            <w:vAlign w:val="center"/>
          </w:tcPr>
          <w:p>
            <w:pPr>
              <w:snapToGrid w:val="0"/>
              <w:spacing w:line="320" w:lineRule="exact"/>
              <w:rPr>
                <w:rFonts w:ascii="宋体" w:hAnsi="宋体"/>
                <w:color w:val="auto"/>
                <w:szCs w:val="21"/>
                <w:highlight w:val="none"/>
              </w:rPr>
            </w:pPr>
            <w:r>
              <w:rPr>
                <w:rFonts w:hint="eastAsia" w:ascii="宋体" w:hAnsi="宋体"/>
                <w:color w:val="auto"/>
                <w:szCs w:val="21"/>
                <w:highlight w:val="none"/>
              </w:rPr>
              <w:t>评标价得分计算公式示例：</w:t>
            </w:r>
          </w:p>
          <w:p>
            <w:pPr>
              <w:snapToGrid w:val="0"/>
              <w:spacing w:line="320" w:lineRule="exact"/>
              <w:rPr>
                <w:rFonts w:ascii="宋体" w:hAnsi="宋体"/>
                <w:color w:val="auto"/>
                <w:szCs w:val="21"/>
                <w:highlight w:val="none"/>
              </w:rPr>
            </w:pPr>
            <w:r>
              <w:rPr>
                <w:rFonts w:hint="eastAsia" w:ascii="宋体" w:hAnsi="宋体"/>
                <w:color w:val="auto"/>
                <w:szCs w:val="21"/>
                <w:highlight w:val="none"/>
              </w:rPr>
              <w:t>（1）如果投标人的评标价＞评标基准价，则评标价得分=F-（投标人评标价-评标基准价）/评标基准价×100×E1；</w:t>
            </w:r>
          </w:p>
          <w:p>
            <w:pPr>
              <w:snapToGrid w:val="0"/>
              <w:spacing w:line="320" w:lineRule="exact"/>
              <w:rPr>
                <w:rFonts w:ascii="宋体" w:hAnsi="宋体"/>
                <w:color w:val="auto"/>
                <w:szCs w:val="21"/>
                <w:highlight w:val="none"/>
              </w:rPr>
            </w:pPr>
            <w:r>
              <w:rPr>
                <w:rFonts w:hint="eastAsia" w:ascii="宋体" w:hAnsi="宋体"/>
                <w:color w:val="auto"/>
                <w:szCs w:val="21"/>
                <w:highlight w:val="none"/>
              </w:rPr>
              <w:t>（2）如果投标人的评标价≤评标基准价，则评标价得分=F+(投标人评标价-评标基准价)/评标基准价×100×E2。</w:t>
            </w:r>
          </w:p>
          <w:p>
            <w:pPr>
              <w:snapToGrid w:val="0"/>
              <w:spacing w:line="320" w:lineRule="exact"/>
              <w:jc w:val="left"/>
              <w:rPr>
                <w:rFonts w:ascii="宋体" w:hAnsi="宋体"/>
                <w:color w:val="auto"/>
                <w:szCs w:val="21"/>
                <w:highlight w:val="none"/>
              </w:rPr>
            </w:pPr>
            <w:r>
              <w:rPr>
                <w:rFonts w:hint="eastAsia" w:ascii="宋体" w:hAnsi="宋体"/>
                <w:color w:val="auto"/>
                <w:szCs w:val="21"/>
                <w:highlight w:val="none"/>
              </w:rPr>
              <w:t>其中，F=30；E1=0.2；E2=0.1；评标价最低得分为0分。</w:t>
            </w:r>
          </w:p>
          <w:p>
            <w:pPr>
              <w:snapToGrid w:val="0"/>
              <w:spacing w:line="320" w:lineRule="exact"/>
              <w:jc w:val="left"/>
              <w:rPr>
                <w:rFonts w:hint="eastAsia" w:ascii="宋体" w:hAnsi="宋体"/>
                <w:color w:val="auto"/>
                <w:szCs w:val="21"/>
                <w:highlight w:val="none"/>
              </w:rPr>
            </w:pPr>
            <w:r>
              <w:rPr>
                <w:rFonts w:hint="eastAsia" w:ascii="宋体" w:hAnsi="宋体"/>
                <w:color w:val="auto"/>
                <w:szCs w:val="21"/>
                <w:highlight w:val="none"/>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41" w:type="dxa"/>
            <w:vMerge w:val="restart"/>
            <w:noWrap w:val="0"/>
            <w:vAlign w:val="center"/>
          </w:tcPr>
          <w:p>
            <w:pPr>
              <w:pStyle w:val="6"/>
              <w:snapToGrid w:val="0"/>
              <w:spacing w:line="320" w:lineRule="exact"/>
              <w:jc w:val="center"/>
              <w:rPr>
                <w:rFonts w:hAnsi="宋体"/>
                <w:color w:val="auto"/>
                <w:highlight w:val="none"/>
              </w:rPr>
            </w:pPr>
            <w:r>
              <w:rPr>
                <w:rFonts w:hint="eastAsia" w:hAnsi="宋体"/>
                <w:color w:val="auto"/>
                <w:highlight w:val="none"/>
              </w:rPr>
              <w:t>2.2.4（4）</w:t>
            </w:r>
          </w:p>
        </w:tc>
        <w:tc>
          <w:tcPr>
            <w:tcW w:w="741" w:type="dxa"/>
            <w:vMerge w:val="restart"/>
            <w:noWrap w:val="0"/>
            <w:vAlign w:val="center"/>
          </w:tcPr>
          <w:p>
            <w:pPr>
              <w:pStyle w:val="6"/>
              <w:snapToGrid w:val="0"/>
              <w:spacing w:line="320" w:lineRule="exact"/>
              <w:jc w:val="center"/>
              <w:rPr>
                <w:rFonts w:hAnsi="宋体"/>
                <w:color w:val="auto"/>
                <w:highlight w:val="none"/>
              </w:rPr>
            </w:pPr>
            <w:r>
              <w:rPr>
                <w:rFonts w:hint="eastAsia" w:hAnsi="宋体"/>
                <w:color w:val="auto"/>
                <w:highlight w:val="none"/>
              </w:rPr>
              <w:t>其他因素</w:t>
            </w:r>
          </w:p>
        </w:tc>
        <w:tc>
          <w:tcPr>
            <w:tcW w:w="624" w:type="dxa"/>
            <w:vMerge w:val="restart"/>
            <w:tcBorders>
              <w:top w:val="single" w:color="auto" w:sz="4" w:space="0"/>
            </w:tcBorders>
            <w:noWrap w:val="0"/>
            <w:vAlign w:val="center"/>
          </w:tcPr>
          <w:p>
            <w:pPr>
              <w:pStyle w:val="6"/>
              <w:snapToGrid w:val="0"/>
              <w:spacing w:line="320" w:lineRule="exact"/>
              <w:jc w:val="center"/>
              <w:rPr>
                <w:rFonts w:hAnsi="宋体"/>
                <w:color w:val="auto"/>
                <w:highlight w:val="none"/>
              </w:rPr>
            </w:pPr>
            <w:r>
              <w:rPr>
                <w:rFonts w:hint="eastAsia" w:hAnsi="宋体"/>
                <w:color w:val="auto"/>
                <w:highlight w:val="none"/>
              </w:rPr>
              <w:t>15分</w:t>
            </w:r>
          </w:p>
        </w:tc>
        <w:tc>
          <w:tcPr>
            <w:tcW w:w="1134" w:type="dxa"/>
            <w:vMerge w:val="restart"/>
            <w:tcBorders>
              <w:top w:val="single" w:color="auto" w:sz="4" w:space="0"/>
            </w:tcBorders>
            <w:noWrap w:val="0"/>
            <w:vAlign w:val="center"/>
          </w:tcPr>
          <w:p>
            <w:pPr>
              <w:pStyle w:val="6"/>
              <w:snapToGrid w:val="0"/>
              <w:spacing w:line="320" w:lineRule="exact"/>
              <w:jc w:val="center"/>
              <w:rPr>
                <w:rFonts w:hAnsi="宋体"/>
                <w:color w:val="auto"/>
                <w:highlight w:val="none"/>
              </w:rPr>
            </w:pPr>
            <w:r>
              <w:rPr>
                <w:rFonts w:hint="eastAsia" w:hAnsi="宋体"/>
                <w:color w:val="auto"/>
                <w:highlight w:val="none"/>
              </w:rPr>
              <w:t>企业业绩</w:t>
            </w:r>
          </w:p>
        </w:tc>
        <w:tc>
          <w:tcPr>
            <w:tcW w:w="687" w:type="dxa"/>
            <w:vMerge w:val="restart"/>
            <w:tcBorders>
              <w:top w:val="single" w:color="auto" w:sz="4" w:space="0"/>
            </w:tcBorders>
            <w:noWrap w:val="0"/>
            <w:vAlign w:val="center"/>
          </w:tcPr>
          <w:p>
            <w:pPr>
              <w:pStyle w:val="6"/>
              <w:snapToGrid w:val="0"/>
              <w:spacing w:line="320" w:lineRule="exact"/>
              <w:jc w:val="center"/>
              <w:rPr>
                <w:rFonts w:hAnsi="宋体"/>
                <w:color w:val="auto"/>
                <w:highlight w:val="none"/>
              </w:rPr>
            </w:pPr>
            <w:r>
              <w:rPr>
                <w:rFonts w:hint="eastAsia" w:hAnsi="宋体"/>
                <w:color w:val="auto"/>
                <w:highlight w:val="none"/>
              </w:rPr>
              <w:t>15分</w:t>
            </w:r>
          </w:p>
        </w:tc>
        <w:tc>
          <w:tcPr>
            <w:tcW w:w="5725" w:type="dxa"/>
            <w:tcBorders>
              <w:top w:val="single" w:color="auto" w:sz="4" w:space="0"/>
              <w:bottom w:val="single" w:color="auto" w:sz="4" w:space="0"/>
            </w:tcBorders>
            <w:noWrap w:val="0"/>
            <w:vAlign w:val="center"/>
          </w:tcPr>
          <w:p>
            <w:pPr>
              <w:snapToGrid w:val="0"/>
              <w:spacing w:line="320" w:lineRule="exact"/>
              <w:rPr>
                <w:rFonts w:hint="eastAsia" w:ascii="宋体" w:hAnsi="宋体"/>
                <w:color w:val="auto"/>
                <w:szCs w:val="21"/>
                <w:highlight w:val="none"/>
              </w:rPr>
            </w:pPr>
            <w:r>
              <w:rPr>
                <w:rFonts w:hint="eastAsia" w:ascii="宋体" w:hAnsi="宋体"/>
                <w:color w:val="auto"/>
                <w:szCs w:val="21"/>
                <w:highlight w:val="none"/>
              </w:rPr>
              <w:t>满足</w:t>
            </w:r>
            <w:r>
              <w:rPr>
                <w:rFonts w:hint="eastAsia" w:ascii="宋体" w:hAnsi="宋体"/>
                <w:color w:val="auto"/>
                <w:szCs w:val="21"/>
                <w:highlight w:val="none"/>
                <w:lang w:val="en-US" w:eastAsia="zh-CN"/>
              </w:rPr>
              <w:t>附录2</w:t>
            </w:r>
            <w:r>
              <w:rPr>
                <w:rFonts w:hint="eastAsia" w:ascii="宋体" w:hAnsi="宋体"/>
                <w:color w:val="auto"/>
                <w:szCs w:val="21"/>
                <w:highlight w:val="none"/>
              </w:rPr>
              <w:t>资格审查条件（业绩最低要求）的，得9分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41" w:type="dxa"/>
            <w:vMerge w:val="continue"/>
            <w:noWrap w:val="0"/>
            <w:vAlign w:val="center"/>
          </w:tcPr>
          <w:p>
            <w:pPr>
              <w:pStyle w:val="6"/>
              <w:snapToGrid w:val="0"/>
              <w:spacing w:line="320" w:lineRule="exact"/>
              <w:jc w:val="center"/>
              <w:rPr>
                <w:rFonts w:hint="eastAsia" w:hAnsi="宋体"/>
                <w:color w:val="auto"/>
                <w:highlight w:val="none"/>
              </w:rPr>
            </w:pPr>
          </w:p>
        </w:tc>
        <w:tc>
          <w:tcPr>
            <w:tcW w:w="741" w:type="dxa"/>
            <w:vMerge w:val="continue"/>
            <w:noWrap w:val="0"/>
            <w:vAlign w:val="center"/>
          </w:tcPr>
          <w:p>
            <w:pPr>
              <w:pStyle w:val="6"/>
              <w:snapToGrid w:val="0"/>
              <w:spacing w:line="320" w:lineRule="exact"/>
              <w:jc w:val="center"/>
              <w:rPr>
                <w:rFonts w:hint="eastAsia" w:hAnsi="宋体"/>
                <w:color w:val="auto"/>
                <w:highlight w:val="none"/>
              </w:rPr>
            </w:pPr>
          </w:p>
        </w:tc>
        <w:tc>
          <w:tcPr>
            <w:tcW w:w="624" w:type="dxa"/>
            <w:vMerge w:val="continue"/>
            <w:noWrap w:val="0"/>
            <w:vAlign w:val="center"/>
          </w:tcPr>
          <w:p>
            <w:pPr>
              <w:pStyle w:val="6"/>
              <w:snapToGrid w:val="0"/>
              <w:spacing w:line="320" w:lineRule="exact"/>
              <w:jc w:val="center"/>
              <w:rPr>
                <w:rFonts w:hint="eastAsia" w:hAnsi="宋体"/>
                <w:color w:val="auto"/>
                <w:highlight w:val="none"/>
              </w:rPr>
            </w:pPr>
          </w:p>
        </w:tc>
        <w:tc>
          <w:tcPr>
            <w:tcW w:w="1134" w:type="dxa"/>
            <w:vMerge w:val="continue"/>
            <w:noWrap w:val="0"/>
            <w:vAlign w:val="center"/>
          </w:tcPr>
          <w:p>
            <w:pPr>
              <w:pStyle w:val="6"/>
              <w:snapToGrid w:val="0"/>
              <w:spacing w:line="320" w:lineRule="exact"/>
              <w:jc w:val="center"/>
              <w:rPr>
                <w:rFonts w:hint="eastAsia" w:hAnsi="宋体"/>
                <w:color w:val="auto"/>
                <w:highlight w:val="none"/>
              </w:rPr>
            </w:pPr>
          </w:p>
        </w:tc>
        <w:tc>
          <w:tcPr>
            <w:tcW w:w="687" w:type="dxa"/>
            <w:vMerge w:val="continue"/>
            <w:noWrap w:val="0"/>
            <w:vAlign w:val="center"/>
          </w:tcPr>
          <w:p>
            <w:pPr>
              <w:pStyle w:val="6"/>
              <w:snapToGrid w:val="0"/>
              <w:spacing w:line="320" w:lineRule="exact"/>
              <w:jc w:val="center"/>
              <w:rPr>
                <w:rFonts w:hint="eastAsia" w:hAnsi="宋体"/>
                <w:color w:val="auto"/>
                <w:highlight w:val="none"/>
              </w:rPr>
            </w:pPr>
          </w:p>
        </w:tc>
        <w:tc>
          <w:tcPr>
            <w:tcW w:w="5725" w:type="dxa"/>
            <w:tcBorders>
              <w:top w:val="single" w:color="auto" w:sz="4" w:space="0"/>
              <w:bottom w:val="single" w:color="auto" w:sz="4" w:space="0"/>
            </w:tcBorders>
            <w:noWrap w:val="0"/>
            <w:vAlign w:val="center"/>
          </w:tcPr>
          <w:p>
            <w:pPr>
              <w:pStyle w:val="14"/>
              <w:spacing w:before="22"/>
              <w:ind w:left="7"/>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每增加 1 项满足附录 2 资格审查条件（业绩最低要求）</w:t>
            </w:r>
          </w:p>
          <w:p>
            <w:pPr>
              <w:snapToGrid w:val="0"/>
              <w:spacing w:line="320" w:lineRule="exact"/>
              <w:rPr>
                <w:rFonts w:hint="eastAsia" w:ascii="宋体" w:hAnsi="宋体"/>
                <w:color w:val="auto"/>
                <w:szCs w:val="21"/>
                <w:highlight w:val="none"/>
              </w:rPr>
            </w:pPr>
            <w:r>
              <w:rPr>
                <w:color w:val="auto"/>
                <w:sz w:val="21"/>
                <w:highlight w:val="none"/>
              </w:rPr>
              <w:t xml:space="preserve">的业绩得 </w:t>
            </w:r>
            <w:r>
              <w:rPr>
                <w:rFonts w:hint="eastAsia"/>
                <w:color w:val="auto"/>
                <w:sz w:val="21"/>
                <w:highlight w:val="none"/>
                <w:lang w:val="en-US" w:eastAsia="zh-CN"/>
              </w:rPr>
              <w:t>3</w:t>
            </w:r>
            <w:r>
              <w:rPr>
                <w:color w:val="auto"/>
                <w:sz w:val="21"/>
                <w:highlight w:val="none"/>
              </w:rPr>
              <w:t>分，本项最多加</w:t>
            </w:r>
            <w:r>
              <w:rPr>
                <w:rFonts w:hint="eastAsia"/>
                <w:color w:val="auto"/>
                <w:sz w:val="21"/>
                <w:highlight w:val="none"/>
                <w:lang w:val="en-US" w:eastAsia="zh-CN"/>
              </w:rPr>
              <w:t>6</w:t>
            </w:r>
            <w:r>
              <w:rPr>
                <w:color w:val="auto"/>
                <w:sz w:val="21"/>
                <w:highlight w:val="none"/>
              </w:rPr>
              <w:t>分。</w:t>
            </w:r>
          </w:p>
        </w:tc>
      </w:tr>
    </w:tbl>
    <w:p>
      <w:pPr>
        <w:pStyle w:val="6"/>
        <w:rPr>
          <w:rFonts w:hAnsi="宋体"/>
          <w:color w:val="auto"/>
          <w:highlight w:val="none"/>
        </w:rPr>
      </w:pPr>
    </w:p>
    <w:p>
      <w:pPr>
        <w:pStyle w:val="6"/>
        <w:rPr>
          <w:rFonts w:hAnsi="宋体"/>
          <w:color w:val="auto"/>
          <w:highlight w:val="none"/>
        </w:rPr>
      </w:pPr>
      <w:r>
        <w:rPr>
          <w:rFonts w:hint="eastAsia" w:hAnsi="宋体"/>
          <w:color w:val="auto"/>
          <w:highlight w:val="none"/>
        </w:rPr>
        <w:t>注：1、</w:t>
      </w:r>
      <w:r>
        <w:rPr>
          <w:rFonts w:hAnsi="宋体"/>
          <w:color w:val="auto"/>
          <w:highlight w:val="none"/>
        </w:rPr>
        <w:t>各评分因素得分应以评标委员会各成员的打分平均值确定</w:t>
      </w:r>
      <w:r>
        <w:rPr>
          <w:rFonts w:hint="eastAsia" w:hAnsi="宋体"/>
          <w:color w:val="auto"/>
          <w:highlight w:val="none"/>
        </w:rPr>
        <w:t>。</w:t>
      </w:r>
    </w:p>
    <w:p>
      <w:pPr>
        <w:pStyle w:val="6"/>
        <w:ind w:firstLine="428" w:firstLineChars="204"/>
        <w:rPr>
          <w:rFonts w:hAnsi="宋体"/>
          <w:color w:val="auto"/>
          <w:highlight w:val="none"/>
        </w:rPr>
      </w:pPr>
      <w:r>
        <w:rPr>
          <w:rFonts w:hint="eastAsia" w:hAnsi="宋体"/>
          <w:color w:val="auto"/>
          <w:highlight w:val="none"/>
        </w:rPr>
        <w:t>2、技术建议书中的评分项缺项则该项得0分。</w:t>
      </w:r>
    </w:p>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2B832293"/>
    <w:rsid w:val="4FDC7DE2"/>
    <w:rsid w:val="5D8B5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widowControl w:val="0"/>
      <w:spacing w:before="260" w:after="260" w:line="412" w:lineRule="auto"/>
      <w:outlineLvl w:val="1"/>
    </w:pPr>
    <w:rPr>
      <w:rFonts w:ascii="Arial" w:hAnsi="Arial" w:eastAsia="黑体"/>
      <w:b/>
      <w:kern w:val="2"/>
      <w:sz w:val="32"/>
    </w:rPr>
  </w:style>
  <w:style w:type="paragraph" w:styleId="5">
    <w:name w:val="heading 3"/>
    <w:basedOn w:val="1"/>
    <w:next w:val="1"/>
    <w:qFormat/>
    <w:uiPriority w:val="0"/>
    <w:pPr>
      <w:keepNext/>
      <w:keepLines/>
      <w:widowControl w:val="0"/>
      <w:spacing w:before="260" w:after="260" w:line="412" w:lineRule="auto"/>
      <w:outlineLvl w:val="2"/>
    </w:pPr>
    <w:rPr>
      <w:b/>
      <w:bCs/>
      <w:kern w:val="2"/>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kern w:val="2"/>
      <w:sz w:val="21"/>
      <w:szCs w:val="24"/>
    </w:rPr>
  </w:style>
  <w:style w:type="paragraph" w:styleId="3">
    <w:name w:val="Body Text 2"/>
    <w:basedOn w:val="1"/>
    <w:qFormat/>
    <w:uiPriority w:val="0"/>
    <w:pPr>
      <w:spacing w:line="540" w:lineRule="exact"/>
    </w:pPr>
    <w:rPr>
      <w:color w:val="FF0000"/>
      <w:kern w:val="2"/>
      <w:sz w:val="21"/>
      <w:szCs w:val="24"/>
    </w:rPr>
  </w:style>
  <w:style w:type="paragraph" w:styleId="6">
    <w:name w:val="Plain Text"/>
    <w:basedOn w:val="1"/>
    <w:next w:val="1"/>
    <w:qFormat/>
    <w:uiPriority w:val="0"/>
    <w:rPr>
      <w:rFonts w:ascii="宋体"/>
      <w:szCs w:val="21"/>
    </w:rPr>
  </w:style>
  <w:style w:type="paragraph" w:styleId="7">
    <w:name w:val="Normal (Web)"/>
    <w:basedOn w:val="1"/>
    <w:qFormat/>
    <w:uiPriority w:val="0"/>
    <w:pPr>
      <w:widowControl/>
      <w:spacing w:before="100" w:beforeAutospacing="1" w:after="100" w:afterAutospacing="1"/>
      <w:jc w:val="left"/>
    </w:pPr>
    <w:rPr>
      <w:rFonts w:ascii="宋体" w:cs="Arial"/>
      <w:color w:val="0000FF"/>
      <w:kern w:val="0"/>
      <w:sz w:val="24"/>
      <w:lang w:bidi="ar-SA"/>
    </w:rPr>
  </w:style>
  <w:style w:type="paragraph" w:customStyle="1" w:styleId="10">
    <w:name w:val="目录3"/>
    <w:qFormat/>
    <w:uiPriority w:val="0"/>
    <w:pPr>
      <w:widowControl w:val="0"/>
      <w:spacing w:before="50" w:beforeLines="50" w:after="50" w:afterLines="50" w:line="400" w:lineRule="exact"/>
      <w:jc w:val="both"/>
    </w:pPr>
    <w:rPr>
      <w:rFonts w:ascii="黑体" w:hAnsi="Times New Roman" w:eastAsia="黑体" w:cs="Times New Roman"/>
      <w:kern w:val="2"/>
      <w:sz w:val="24"/>
      <w:szCs w:val="24"/>
      <w:lang w:val="en-US" w:eastAsia="zh-CN" w:bidi="ar-SA"/>
    </w:rPr>
  </w:style>
  <w:style w:type="paragraph" w:customStyle="1" w:styleId="11">
    <w:name w:val="样式54"/>
    <w:basedOn w:val="4"/>
    <w:qFormat/>
    <w:uiPriority w:val="0"/>
    <w:pPr>
      <w:spacing w:before="0" w:after="0" w:line="360" w:lineRule="auto"/>
      <w:jc w:val="center"/>
    </w:pPr>
  </w:style>
  <w:style w:type="paragraph" w:customStyle="1" w:styleId="12">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3">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4">
    <w:name w:val="Table Paragraph"/>
    <w:basedOn w:val="1"/>
    <w:unhideWhenUsed/>
    <w:qFormat/>
    <w:uiPriority w:val="1"/>
    <w:pPr>
      <w:widowControl/>
      <w:jc w:val="left"/>
    </w:pPr>
    <w:rPr>
      <w:rFonts w:ascii="Calibri" w:hAnsi="Calibri"/>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3571</Words>
  <Characters>3776</Characters>
  <Lines>0</Lines>
  <Paragraphs>0</Paragraphs>
  <TotalTime>3</TotalTime>
  <ScaleCrop>false</ScaleCrop>
  <LinksUpToDate>false</LinksUpToDate>
  <CharactersWithSpaces>3813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2022-10-11T08:23:00Z</dcterms:created>
  <dc:creator>Administrator</dc:creator>
  <cp:lastModifiedBy>招标管理办公室</cp:lastModifiedBy>
  <dcterms:modified xsi:type="dcterms:W3CDTF">2022-10-12T00:34:04Z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EDB474A4900040DFA6D17B25E41F7586</vt:lpwstr>
  </property>
</Properties>
</file>