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0" w:lineRule="exact"/>
        <w:rPr>
          <w:rFonts w:ascii="宋体" w:hAnsi="宋体"/>
          <w:b/>
          <w:sz w:val="24"/>
        </w:rPr>
      </w:pPr>
      <w:bookmarkStart w:id="0" w:name="_Hlk480902747"/>
      <w:r>
        <w:rPr>
          <w:rFonts w:hint="eastAsia" w:ascii="宋体" w:hAnsi="宋体"/>
          <w:b/>
          <w:sz w:val="24"/>
        </w:rPr>
        <w:t>附件1：资格审查条件</w:t>
      </w:r>
    </w:p>
    <w:p>
      <w:pPr>
        <w:spacing w:line="280" w:lineRule="exact"/>
        <w:rPr>
          <w:rFonts w:hint="eastAsia" w:ascii="宋体" w:hAnsi="宋体"/>
          <w:b/>
          <w:sz w:val="24"/>
        </w:rPr>
      </w:pPr>
    </w:p>
    <w:p>
      <w:pPr>
        <w:jc w:val="center"/>
        <w:rPr>
          <w:rFonts w:ascii="宋体" w:hAnsi="宋体"/>
          <w:b/>
          <w:sz w:val="28"/>
        </w:rPr>
      </w:pPr>
      <w:bookmarkStart w:id="1" w:name="_Hlk44490902"/>
      <w:bookmarkStart w:id="2" w:name="_Hlk508099212"/>
      <w:r>
        <w:rPr>
          <w:rFonts w:hint="eastAsia" w:ascii="宋体" w:hAnsi="宋体"/>
          <w:b/>
          <w:sz w:val="28"/>
        </w:rPr>
        <w:t>附录</w:t>
      </w:r>
      <w:r>
        <w:rPr>
          <w:rFonts w:ascii="宋体" w:hAnsi="宋体"/>
          <w:b/>
          <w:sz w:val="28"/>
        </w:rPr>
        <w:t xml:space="preserve">1 </w:t>
      </w:r>
      <w:r>
        <w:rPr>
          <w:rFonts w:hint="eastAsia" w:ascii="宋体" w:hAnsi="宋体"/>
          <w:b/>
          <w:sz w:val="28"/>
        </w:rPr>
        <w:t>资格审查条件</w:t>
      </w:r>
      <w:r>
        <w:rPr>
          <w:rFonts w:ascii="宋体" w:hAnsi="宋体"/>
          <w:b/>
          <w:sz w:val="28"/>
        </w:rPr>
        <w:t>(</w:t>
      </w:r>
      <w:r>
        <w:rPr>
          <w:rFonts w:hint="eastAsia" w:ascii="宋体" w:hAnsi="宋体"/>
          <w:b/>
          <w:sz w:val="28"/>
        </w:rPr>
        <w:t>资质最低条件</w:t>
      </w:r>
      <w:r>
        <w:rPr>
          <w:rFonts w:ascii="宋体" w:hAnsi="宋体"/>
          <w:b/>
          <w:sz w:val="28"/>
        </w:rPr>
        <w:t>)</w:t>
      </w:r>
      <w:bookmarkEnd w:id="1"/>
      <w:bookmarkStart w:id="3" w:name="_Hlk11917579"/>
    </w:p>
    <w:tbl>
      <w:tblPr>
        <w:tblStyle w:val="2"/>
        <w:tblW w:w="915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7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915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szCs w:val="21"/>
              </w:rPr>
              <w:t>企业资质等级要求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7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营业执照要求</w:t>
            </w:r>
          </w:p>
        </w:tc>
        <w:tc>
          <w:tcPr>
            <w:tcW w:w="7446"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420" w:firstLineChars="200"/>
              <w:rPr>
                <w:rFonts w:hint="eastAsia" w:ascii="宋体" w:hAnsi="宋体"/>
                <w:szCs w:val="21"/>
              </w:rPr>
            </w:pPr>
            <w:r>
              <w:rPr>
                <w:rFonts w:hint="eastAsia" w:ascii="宋体" w:hAnsi="宋体"/>
                <w:szCs w:val="21"/>
              </w:rPr>
              <w:t>具备独立企业法人资格，持有工商行政管理部门核发的有效企业营业执照。</w:t>
            </w:r>
          </w:p>
        </w:tc>
      </w:tr>
    </w:tbl>
    <w:p>
      <w:pPr>
        <w:jc w:val="center"/>
        <w:rPr>
          <w:rFonts w:ascii="宋体" w:hAnsi="宋体"/>
          <w:b/>
          <w:sz w:val="24"/>
          <w:szCs w:val="22"/>
        </w:rPr>
      </w:pPr>
    </w:p>
    <w:p>
      <w:pPr>
        <w:jc w:val="center"/>
        <w:rPr>
          <w:rFonts w:hint="eastAsia" w:ascii="宋体" w:hAnsi="宋体"/>
          <w:b/>
          <w:sz w:val="28"/>
        </w:rPr>
      </w:pPr>
      <w:r>
        <w:rPr>
          <w:rFonts w:hint="eastAsia" w:ascii="宋体" w:hAnsi="宋体"/>
          <w:b/>
          <w:sz w:val="28"/>
        </w:rPr>
        <w:t>附录</w:t>
      </w:r>
      <w:r>
        <w:rPr>
          <w:rFonts w:ascii="宋体" w:hAnsi="宋体"/>
          <w:b/>
          <w:sz w:val="28"/>
        </w:rPr>
        <w:t xml:space="preserve">2 </w:t>
      </w:r>
      <w:r>
        <w:rPr>
          <w:rFonts w:hint="eastAsia" w:ascii="宋体" w:hAnsi="宋体"/>
          <w:b/>
          <w:sz w:val="28"/>
        </w:rPr>
        <w:t>资格审查条件</w:t>
      </w:r>
      <w:r>
        <w:rPr>
          <w:rFonts w:ascii="宋体" w:hAnsi="宋体"/>
          <w:b/>
          <w:sz w:val="28"/>
        </w:rPr>
        <w:t>(</w:t>
      </w:r>
      <w:r>
        <w:rPr>
          <w:rFonts w:hint="eastAsia" w:ascii="宋体" w:hAnsi="宋体"/>
          <w:b/>
          <w:sz w:val="28"/>
        </w:rPr>
        <w:t>业绩最低条件</w:t>
      </w:r>
      <w:r>
        <w:rPr>
          <w:rFonts w:ascii="宋体" w:hAnsi="宋体"/>
          <w:b/>
          <w:sz w:val="28"/>
        </w:rPr>
        <w:t>)</w:t>
      </w:r>
    </w:p>
    <w:bookmarkEnd w:id="3"/>
    <w:tbl>
      <w:tblPr>
        <w:tblStyle w:val="2"/>
        <w:tblW w:w="914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914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rPr>
            </w:pPr>
            <w:r>
              <w:rPr>
                <w:rFonts w:hint="eastAsia" w:ascii="宋体" w:hAnsi="宋体"/>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91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rPr>
                <w:rFonts w:hint="eastAsia" w:ascii="宋体" w:hAnsi="宋体"/>
                <w:b/>
                <w:bCs/>
                <w:szCs w:val="21"/>
              </w:rPr>
            </w:pPr>
            <w:bookmarkStart w:id="4" w:name="_Hlk51692819"/>
            <w:bookmarkStart w:id="5" w:name="_Hlk50454153"/>
            <w:r>
              <w:rPr>
                <w:rFonts w:hint="eastAsia" w:ascii="宋体" w:hAnsi="宋体"/>
                <w:szCs w:val="21"/>
              </w:rPr>
              <w:t>近3年内（201</w:t>
            </w:r>
            <w:r>
              <w:rPr>
                <w:rFonts w:ascii="宋体" w:hAnsi="宋体"/>
                <w:szCs w:val="21"/>
              </w:rPr>
              <w:t>9</w:t>
            </w:r>
            <w:r>
              <w:rPr>
                <w:rFonts w:hint="eastAsia" w:ascii="宋体" w:hAnsi="宋体"/>
                <w:szCs w:val="21"/>
              </w:rPr>
              <w:t>年</w:t>
            </w:r>
            <w:r>
              <w:rPr>
                <w:rFonts w:ascii="宋体" w:hAnsi="宋体"/>
                <w:szCs w:val="21"/>
              </w:rPr>
              <w:t>9</w:t>
            </w:r>
            <w:r>
              <w:rPr>
                <w:rFonts w:hint="eastAsia" w:ascii="宋体" w:hAnsi="宋体"/>
                <w:szCs w:val="21"/>
              </w:rPr>
              <w:t>月1日至今,以合同签订时间为准），独立完成过1项</w:t>
            </w:r>
            <w:bookmarkEnd w:id="4"/>
            <w:bookmarkEnd w:id="5"/>
            <w:r>
              <w:rPr>
                <w:rFonts w:hint="eastAsia" w:ascii="宋体" w:hAnsi="宋体"/>
                <w:szCs w:val="21"/>
              </w:rPr>
              <w:t>合同额不少于2</w:t>
            </w:r>
            <w:r>
              <w:rPr>
                <w:rFonts w:ascii="宋体" w:hAnsi="宋体"/>
                <w:szCs w:val="21"/>
              </w:rPr>
              <w:t>0</w:t>
            </w:r>
            <w:r>
              <w:rPr>
                <w:rFonts w:hint="eastAsia" w:ascii="宋体" w:hAnsi="宋体"/>
                <w:szCs w:val="21"/>
              </w:rPr>
              <w:t>万的车辆维修保养的业绩。</w:t>
            </w:r>
          </w:p>
        </w:tc>
      </w:tr>
    </w:tbl>
    <w:p>
      <w:pPr>
        <w:jc w:val="center"/>
        <w:rPr>
          <w:rFonts w:ascii="宋体" w:hAnsi="宋体"/>
          <w:b/>
          <w:sz w:val="24"/>
          <w:szCs w:val="22"/>
        </w:rPr>
      </w:pPr>
    </w:p>
    <w:p>
      <w:pPr>
        <w:jc w:val="center"/>
        <w:rPr>
          <w:rFonts w:hint="eastAsia" w:ascii="宋体" w:hAnsi="宋体"/>
          <w:b/>
          <w:sz w:val="28"/>
        </w:rPr>
      </w:pPr>
      <w:r>
        <w:rPr>
          <w:rFonts w:hint="eastAsia" w:ascii="宋体" w:hAnsi="宋体"/>
          <w:b/>
          <w:sz w:val="28"/>
        </w:rPr>
        <w:t>附录</w:t>
      </w:r>
      <w:r>
        <w:rPr>
          <w:rFonts w:ascii="宋体" w:hAnsi="宋体"/>
          <w:b/>
          <w:sz w:val="28"/>
        </w:rPr>
        <w:t xml:space="preserve">3 </w:t>
      </w:r>
      <w:r>
        <w:rPr>
          <w:rFonts w:hint="eastAsia" w:ascii="宋体" w:hAnsi="宋体"/>
          <w:b/>
          <w:sz w:val="28"/>
        </w:rPr>
        <w:t>资格审查条件</w:t>
      </w:r>
      <w:r>
        <w:rPr>
          <w:rFonts w:ascii="宋体" w:hAnsi="宋体"/>
          <w:b/>
          <w:sz w:val="28"/>
        </w:rPr>
        <w:t>(</w:t>
      </w:r>
      <w:r>
        <w:rPr>
          <w:rFonts w:hint="eastAsia" w:ascii="宋体" w:hAnsi="宋体"/>
          <w:b/>
          <w:sz w:val="28"/>
        </w:rPr>
        <w:t>信誉最低条件</w:t>
      </w:r>
      <w:r>
        <w:rPr>
          <w:rFonts w:ascii="宋体" w:hAnsi="宋体"/>
          <w:b/>
          <w:sz w:val="28"/>
        </w:rPr>
        <w:t>)</w:t>
      </w:r>
    </w:p>
    <w:tbl>
      <w:tblPr>
        <w:tblStyle w:val="2"/>
        <w:tblW w:w="907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07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rPr>
            </w:pPr>
            <w:r>
              <w:rPr>
                <w:rFonts w:hint="eastAsia" w:ascii="宋体" w:hAnsi="宋体"/>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90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rPr>
                <w:rFonts w:hint="eastAsia" w:ascii="宋体" w:hAnsi="宋体"/>
                <w:b/>
                <w:szCs w:val="21"/>
              </w:rPr>
            </w:pPr>
            <w:r>
              <w:rPr>
                <w:rFonts w:hint="eastAsia" w:ascii="宋体" w:hAnsi="宋体"/>
                <w:szCs w:val="21"/>
              </w:rPr>
              <w:t>投标人过去1年（2021年9月</w:t>
            </w:r>
            <w:r>
              <w:rPr>
                <w:rFonts w:ascii="宋体" w:hAnsi="宋体"/>
                <w:szCs w:val="21"/>
              </w:rPr>
              <w:t>1日</w:t>
            </w:r>
            <w:r>
              <w:rPr>
                <w:rFonts w:hint="eastAsia" w:ascii="宋体" w:hAnsi="宋体"/>
                <w:szCs w:val="21"/>
              </w:rPr>
              <w:t>至今）中不曾在公路合同中违约而被驱逐或因投标人自身的原因而使公路合同被解除。</w:t>
            </w:r>
          </w:p>
        </w:tc>
      </w:tr>
    </w:tbl>
    <w:p>
      <w:pPr>
        <w:jc w:val="center"/>
        <w:rPr>
          <w:rFonts w:ascii="宋体" w:hAnsi="宋体"/>
          <w:b/>
          <w:sz w:val="24"/>
          <w:szCs w:val="22"/>
        </w:rPr>
      </w:pPr>
      <w:bookmarkStart w:id="6" w:name="_Hlk51596299"/>
      <w:bookmarkStart w:id="7" w:name="_Hlk11917842"/>
    </w:p>
    <w:bookmarkEnd w:id="6"/>
    <w:bookmarkEnd w:id="7"/>
    <w:p>
      <w:pPr>
        <w:rPr>
          <w:rFonts w:hint="eastAsia" w:ascii="宋体" w:hAnsi="宋体"/>
        </w:rPr>
      </w:pPr>
    </w:p>
    <w:bookmarkEnd w:id="2"/>
    <w:p>
      <w:pPr>
        <w:adjustRightInd w:val="0"/>
        <w:snapToGrid w:val="0"/>
        <w:spacing w:beforeLines="50" w:line="300" w:lineRule="auto"/>
        <w:ind w:left="1588" w:leftChars="256" w:hanging="1050" w:hangingChars="500"/>
        <w:jc w:val="left"/>
        <w:rPr>
          <w:rFonts w:hint="eastAsia" w:ascii="宋体" w:hAnsi="宋体"/>
          <w:b/>
          <w:sz w:val="24"/>
        </w:rPr>
      </w:pPr>
      <w:r>
        <w:rPr>
          <w:rFonts w:ascii="宋体" w:hAnsi="宋体"/>
        </w:rPr>
        <w:br w:type="page"/>
      </w:r>
      <w:bookmarkStart w:id="8" w:name="_Hlk531337368"/>
      <w:r>
        <w:rPr>
          <w:rFonts w:hint="eastAsia" w:ascii="宋体" w:hAnsi="宋体"/>
          <w:b/>
          <w:sz w:val="24"/>
        </w:rPr>
        <w:t>附件2：投资参股的关联企业情况表</w:t>
      </w:r>
      <w:bookmarkStart w:id="9" w:name="_Hlk503261158"/>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69" w:hRule="atLeast"/>
          <w:jc w:val="center"/>
        </w:trPr>
        <w:tc>
          <w:tcPr>
            <w:tcW w:w="8835" w:type="dxa"/>
          </w:tcPr>
          <w:p>
            <w:pPr>
              <w:adjustRightInd w:val="0"/>
              <w:snapToGrid w:val="0"/>
              <w:spacing w:line="480" w:lineRule="auto"/>
              <w:rPr>
                <w:rFonts w:hint="eastAsia" w:ascii="宋体" w:hAnsi="宋体"/>
                <w:sz w:val="24"/>
              </w:rPr>
            </w:pPr>
          </w:p>
          <w:p>
            <w:pPr>
              <w:adjustRightInd w:val="0"/>
              <w:snapToGrid w:val="0"/>
              <w:spacing w:line="480" w:lineRule="auto"/>
              <w:ind w:firstLine="480" w:firstLineChars="200"/>
              <w:rPr>
                <w:rFonts w:hint="eastAsia" w:ascii="宋体" w:hAnsi="宋体"/>
                <w:sz w:val="24"/>
              </w:rPr>
            </w:pPr>
            <w:r>
              <w:rPr>
                <w:rFonts w:hint="eastAsia" w:ascii="宋体" w:hAnsi="宋体"/>
                <w:sz w:val="24"/>
              </w:rPr>
              <w:t>申请购买招标文件的企业应提供其投资参股的关联企业情况，包括以下内容：</w:t>
            </w:r>
          </w:p>
          <w:p>
            <w:pPr>
              <w:adjustRightInd w:val="0"/>
              <w:snapToGrid w:val="0"/>
              <w:spacing w:line="480" w:lineRule="auto"/>
              <w:ind w:firstLine="480" w:firstLineChars="200"/>
              <w:rPr>
                <w:rFonts w:hint="eastAsia" w:ascii="宋体" w:hAnsi="宋体"/>
                <w:sz w:val="24"/>
              </w:rPr>
            </w:pPr>
            <w:r>
              <w:rPr>
                <w:rFonts w:hint="eastAsia" w:ascii="宋体" w:hAnsi="宋体"/>
                <w:sz w:val="24"/>
              </w:rPr>
              <w:t>(1)单位负责人为同一人的不同单位名单：</w:t>
            </w:r>
            <w:r>
              <w:rPr>
                <w:rFonts w:hint="eastAsia" w:ascii="宋体" w:hAnsi="宋体"/>
                <w:sz w:val="24"/>
                <w:u w:val="single"/>
              </w:rPr>
              <w:t xml:space="preserve">       </w:t>
            </w:r>
            <w:r>
              <w:rPr>
                <w:rFonts w:hint="eastAsia" w:ascii="宋体" w:hAnsi="宋体"/>
                <w:sz w:val="24"/>
              </w:rPr>
              <w:t>；</w:t>
            </w:r>
          </w:p>
          <w:p>
            <w:pPr>
              <w:adjustRightInd w:val="0"/>
              <w:snapToGrid w:val="0"/>
              <w:spacing w:line="480" w:lineRule="auto"/>
              <w:ind w:firstLine="480" w:firstLineChars="200"/>
              <w:rPr>
                <w:rFonts w:hint="eastAsia" w:ascii="宋体" w:hAnsi="宋体"/>
                <w:sz w:val="24"/>
              </w:rPr>
            </w:pPr>
            <w:r>
              <w:rPr>
                <w:rFonts w:hint="eastAsia" w:ascii="宋体" w:hAnsi="宋体"/>
                <w:sz w:val="24"/>
              </w:rPr>
              <w:t>(2)存在控股、管理关系的不同单位名单：</w:t>
            </w:r>
            <w:r>
              <w:rPr>
                <w:rFonts w:hint="eastAsia" w:ascii="宋体" w:hAnsi="宋体"/>
                <w:sz w:val="24"/>
                <w:u w:val="single"/>
              </w:rPr>
              <w:t xml:space="preserve">       </w:t>
            </w:r>
            <w:r>
              <w:rPr>
                <w:rFonts w:hint="eastAsia" w:ascii="宋体" w:hAnsi="宋体"/>
                <w:sz w:val="24"/>
              </w:rPr>
              <w:t xml:space="preserve">； </w:t>
            </w:r>
          </w:p>
          <w:p>
            <w:pPr>
              <w:adjustRightInd w:val="0"/>
              <w:snapToGrid w:val="0"/>
              <w:spacing w:line="480" w:lineRule="auto"/>
              <w:ind w:firstLine="480" w:firstLineChars="200"/>
              <w:rPr>
                <w:rFonts w:hint="eastAsia" w:ascii="宋体" w:hAnsi="宋体"/>
                <w:sz w:val="24"/>
              </w:rPr>
            </w:pPr>
            <w:r>
              <w:rPr>
                <w:rFonts w:hint="eastAsia" w:ascii="宋体" w:hAnsi="宋体"/>
                <w:sz w:val="24"/>
              </w:rPr>
              <w:t>(3)本单位对其他单位存在控股、管理关系的名单：</w:t>
            </w:r>
            <w:r>
              <w:rPr>
                <w:rFonts w:hint="eastAsia" w:ascii="宋体" w:hAnsi="宋体"/>
                <w:sz w:val="24"/>
                <w:u w:val="single"/>
              </w:rPr>
              <w:t xml:space="preserve">       </w:t>
            </w:r>
            <w:r>
              <w:rPr>
                <w:rFonts w:hint="eastAsia" w:ascii="宋体" w:hAnsi="宋体"/>
                <w:sz w:val="24"/>
              </w:rPr>
              <w:t>。</w:t>
            </w:r>
          </w:p>
          <w:p>
            <w:pPr>
              <w:adjustRightInd w:val="0"/>
              <w:snapToGrid w:val="0"/>
              <w:spacing w:line="480" w:lineRule="auto"/>
              <w:ind w:firstLine="480" w:firstLineChars="200"/>
              <w:rPr>
                <w:rFonts w:hint="eastAsia" w:ascii="宋体" w:hAnsi="宋体"/>
                <w:sz w:val="24"/>
              </w:rPr>
            </w:pPr>
          </w:p>
          <w:p>
            <w:pPr>
              <w:adjustRightInd w:val="0"/>
              <w:snapToGrid w:val="0"/>
              <w:spacing w:line="480" w:lineRule="auto"/>
              <w:ind w:firstLine="480" w:firstLineChars="200"/>
              <w:rPr>
                <w:rFonts w:hint="eastAsia" w:ascii="宋体" w:hAnsi="宋体"/>
                <w:sz w:val="24"/>
              </w:rPr>
            </w:pPr>
          </w:p>
          <w:p>
            <w:pPr>
              <w:adjustRightInd w:val="0"/>
              <w:snapToGrid w:val="0"/>
              <w:spacing w:line="480" w:lineRule="auto"/>
              <w:ind w:right="480" w:firstLine="5160" w:firstLineChars="2150"/>
              <w:rPr>
                <w:rFonts w:hint="eastAsia" w:ascii="宋体" w:hAnsi="宋体"/>
                <w:sz w:val="24"/>
              </w:rPr>
            </w:pPr>
            <w:r>
              <w:rPr>
                <w:rFonts w:hint="eastAsia" w:ascii="宋体" w:hAnsi="宋体"/>
                <w:sz w:val="24"/>
              </w:rPr>
              <w:t>（投标单位盖章）</w:t>
            </w:r>
          </w:p>
        </w:tc>
      </w:tr>
    </w:tbl>
    <w:p>
      <w:pPr>
        <w:adjustRightInd w:val="0"/>
        <w:snapToGrid w:val="0"/>
        <w:spacing w:line="480" w:lineRule="auto"/>
        <w:ind w:firstLine="142" w:firstLineChars="59"/>
        <w:rPr>
          <w:rFonts w:hint="eastAsia" w:ascii="宋体" w:hAnsi="宋体"/>
          <w:b/>
          <w:sz w:val="24"/>
        </w:rPr>
      </w:pPr>
      <w:r>
        <w:rPr>
          <w:rFonts w:hint="eastAsia" w:ascii="宋体" w:hAnsi="宋体"/>
          <w:b/>
          <w:sz w:val="24"/>
        </w:rPr>
        <w:t>注：投标人应如实填报此表，否则因其投标影响招标公正性的，其相关投标均无效。</w:t>
      </w:r>
    </w:p>
    <w:bookmarkEnd w:id="9"/>
    <w:p>
      <w:pPr>
        <w:spacing w:line="400" w:lineRule="exact"/>
        <w:ind w:firstLine="480" w:firstLineChars="200"/>
        <w:rPr>
          <w:rFonts w:hint="eastAsia" w:ascii="宋体" w:hAnsi="宋体"/>
          <w:sz w:val="24"/>
        </w:rPr>
      </w:pPr>
    </w:p>
    <w:p>
      <w:pPr>
        <w:spacing w:line="400" w:lineRule="exact"/>
        <w:ind w:firstLine="480" w:firstLineChars="200"/>
        <w:rPr>
          <w:rFonts w:hint="eastAsia" w:ascii="宋体" w:hAnsi="宋体"/>
          <w:szCs w:val="21"/>
        </w:rPr>
      </w:pPr>
      <w:r>
        <w:rPr>
          <w:rFonts w:ascii="宋体" w:hAnsi="宋体"/>
          <w:sz w:val="24"/>
        </w:rPr>
        <w:br w:type="page"/>
      </w:r>
      <w:r>
        <w:rPr>
          <w:rFonts w:hint="eastAsia" w:ascii="宋体" w:hAnsi="宋体"/>
          <w:b/>
          <w:sz w:val="24"/>
        </w:rPr>
        <w:t>附件</w:t>
      </w:r>
      <w:r>
        <w:rPr>
          <w:rFonts w:hint="eastAsia" w:ascii="宋体" w:hAnsi="宋体"/>
          <w:b/>
          <w:sz w:val="24"/>
          <w:lang w:val="en-US" w:eastAsia="zh-CN"/>
        </w:rPr>
        <w:t>3</w:t>
      </w:r>
      <w:r>
        <w:rPr>
          <w:rFonts w:hint="eastAsia" w:ascii="宋体" w:hAnsi="宋体"/>
          <w:b/>
          <w:sz w:val="24"/>
        </w:rPr>
        <w:t>：</w:t>
      </w:r>
      <w:bookmarkStart w:id="10" w:name="_Hlk51596383"/>
      <w:r>
        <w:rPr>
          <w:rFonts w:hint="eastAsia" w:ascii="宋体" w:hAnsi="宋体"/>
          <w:b/>
          <w:sz w:val="24"/>
        </w:rPr>
        <w:t>评标办法</w:t>
      </w:r>
      <w:bookmarkEnd w:id="8"/>
      <w:bookmarkEnd w:id="10"/>
    </w:p>
    <w:tbl>
      <w:tblPr>
        <w:tblStyle w:val="2"/>
        <w:tblW w:w="9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1"/>
        <w:gridCol w:w="1418"/>
        <w:gridCol w:w="7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1" w:hRule="atLeast"/>
          <w:tblHeader/>
          <w:jc w:val="center"/>
        </w:trPr>
        <w:tc>
          <w:tcPr>
            <w:tcW w:w="2309" w:type="dxa"/>
            <w:gridSpan w:val="2"/>
            <w:vAlign w:val="center"/>
          </w:tcPr>
          <w:p>
            <w:pPr>
              <w:adjustRightInd w:val="0"/>
              <w:snapToGrid w:val="0"/>
              <w:spacing w:line="300" w:lineRule="auto"/>
              <w:jc w:val="center"/>
              <w:rPr>
                <w:rFonts w:hint="eastAsia" w:ascii="宋体" w:hAnsi="宋体"/>
                <w:b/>
                <w:szCs w:val="21"/>
              </w:rPr>
            </w:pPr>
            <w:bookmarkStart w:id="11" w:name="_Hlk531634462"/>
            <w:r>
              <w:rPr>
                <w:rFonts w:hint="eastAsia" w:ascii="宋体" w:hAnsi="宋体"/>
                <w:b/>
                <w:szCs w:val="21"/>
              </w:rPr>
              <w:t>条款号</w:t>
            </w:r>
          </w:p>
        </w:tc>
        <w:tc>
          <w:tcPr>
            <w:tcW w:w="7522" w:type="dxa"/>
            <w:vAlign w:val="center"/>
          </w:tcPr>
          <w:p>
            <w:pPr>
              <w:adjustRightInd w:val="0"/>
              <w:snapToGrid w:val="0"/>
              <w:spacing w:line="300" w:lineRule="auto"/>
              <w:jc w:val="center"/>
              <w:rPr>
                <w:rFonts w:hint="eastAsia" w:ascii="宋体" w:hAnsi="宋体"/>
                <w:b/>
                <w:szCs w:val="21"/>
              </w:rPr>
            </w:pPr>
            <w:r>
              <w:rPr>
                <w:rFonts w:hint="eastAsia" w:ascii="宋体" w:hAnsi="宋体"/>
                <w:b/>
                <w:szCs w:val="21"/>
              </w:rPr>
              <w:t>评审因素与标准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761" w:hRule="atLeast"/>
          <w:jc w:val="center"/>
        </w:trPr>
        <w:tc>
          <w:tcPr>
            <w:tcW w:w="891" w:type="dxa"/>
            <w:vAlign w:val="center"/>
          </w:tcPr>
          <w:p>
            <w:pPr>
              <w:jc w:val="center"/>
              <w:rPr>
                <w:rFonts w:hint="eastAsia" w:ascii="宋体" w:hAnsi="宋体"/>
                <w:b/>
                <w:szCs w:val="21"/>
              </w:rPr>
            </w:pPr>
            <w:r>
              <w:rPr>
                <w:rFonts w:hint="eastAsia" w:ascii="宋体" w:hAnsi="宋体"/>
                <w:b/>
                <w:szCs w:val="21"/>
              </w:rPr>
              <w:t>1</w:t>
            </w:r>
          </w:p>
        </w:tc>
        <w:tc>
          <w:tcPr>
            <w:tcW w:w="1418" w:type="dxa"/>
            <w:vAlign w:val="center"/>
          </w:tcPr>
          <w:p>
            <w:pPr>
              <w:jc w:val="center"/>
              <w:rPr>
                <w:rFonts w:hint="eastAsia" w:ascii="宋体" w:hAnsi="宋体"/>
                <w:b/>
              </w:rPr>
            </w:pPr>
            <w:r>
              <w:rPr>
                <w:rFonts w:hint="eastAsia" w:ascii="宋体" w:hAnsi="宋体"/>
                <w:szCs w:val="21"/>
              </w:rPr>
              <w:t>评标办法</w:t>
            </w:r>
          </w:p>
        </w:tc>
        <w:tc>
          <w:tcPr>
            <w:tcW w:w="7522" w:type="dxa"/>
            <w:vAlign w:val="center"/>
          </w:tcPr>
          <w:p>
            <w:pPr>
              <w:adjustRightInd w:val="0"/>
              <w:snapToGrid w:val="0"/>
              <w:rPr>
                <w:rFonts w:ascii="宋体" w:hAnsi="宋体"/>
                <w:szCs w:val="21"/>
              </w:rPr>
            </w:pPr>
            <w:r>
              <w:rPr>
                <w:rFonts w:hint="eastAsia" w:ascii="宋体" w:hAnsi="宋体"/>
                <w:szCs w:val="21"/>
              </w:rPr>
              <w:t>本条修改为：</w:t>
            </w:r>
          </w:p>
          <w:p>
            <w:pPr>
              <w:adjustRightInd w:val="0"/>
              <w:snapToGrid w:val="0"/>
              <w:ind w:firstLine="420" w:firstLineChars="200"/>
              <w:rPr>
                <w:rFonts w:ascii="宋体" w:hAnsi="宋体"/>
                <w:szCs w:val="21"/>
              </w:rPr>
            </w:pPr>
            <w:r>
              <w:rPr>
                <w:rFonts w:hint="eastAsia" w:ascii="宋体" w:hAnsi="宋体"/>
                <w:szCs w:val="21"/>
              </w:rPr>
              <w:t>本次评标采用综合评分法，双信封形式。</w:t>
            </w:r>
          </w:p>
          <w:p>
            <w:pPr>
              <w:adjustRightInd w:val="0"/>
              <w:snapToGrid w:val="0"/>
              <w:ind w:firstLine="420" w:firstLineChars="200"/>
              <w:rPr>
                <w:rFonts w:ascii="宋体" w:hAnsi="宋体"/>
                <w:szCs w:val="21"/>
              </w:rPr>
            </w:pPr>
            <w:r>
              <w:rPr>
                <w:rFonts w:hint="eastAsia" w:ascii="宋体" w:hAnsi="宋体"/>
                <w:szCs w:val="21"/>
              </w:rPr>
              <w:t>评标委员会对满足招标文件实质性要求的投标文件按照本章第2.2款规定的评分标准进行打分，并</w:t>
            </w:r>
            <w:bookmarkStart w:id="12" w:name="OLE_LINK2"/>
            <w:r>
              <w:rPr>
                <w:rFonts w:hint="eastAsia" w:ascii="宋体" w:hAnsi="宋体"/>
                <w:szCs w:val="21"/>
              </w:rPr>
              <w:t>按得分由高到低顺序推荐1</w:t>
            </w:r>
            <w:r>
              <w:rPr>
                <w:rFonts w:ascii="宋体" w:hAnsi="宋体"/>
                <w:szCs w:val="21"/>
              </w:rPr>
              <w:t>-</w:t>
            </w:r>
            <w:r>
              <w:rPr>
                <w:rFonts w:hint="eastAsia" w:ascii="宋体" w:hAnsi="宋体"/>
                <w:szCs w:val="21"/>
              </w:rPr>
              <w:t>3名中标候选人</w:t>
            </w:r>
            <w:bookmarkEnd w:id="12"/>
            <w:r>
              <w:rPr>
                <w:rFonts w:hint="eastAsia" w:ascii="宋体" w:hAnsi="宋体"/>
                <w:szCs w:val="21"/>
              </w:rPr>
              <w:t>，但投标报价低于其成本的除外。综合评分相等时，以投标报价低的优先；投标报价也相等的，以所附业绩（满足资格审查业绩最低条件）累计合同金额大的优先。</w:t>
            </w:r>
          </w:p>
          <w:p>
            <w:pPr>
              <w:adjustRightInd w:val="0"/>
              <w:snapToGrid w:val="0"/>
              <w:ind w:firstLine="420" w:firstLineChars="200"/>
              <w:rPr>
                <w:rFonts w:hint="eastAsia" w:ascii="宋体" w:hAnsi="宋体"/>
                <w:szCs w:val="21"/>
              </w:rPr>
            </w:pPr>
            <w:r>
              <w:rPr>
                <w:rFonts w:hint="eastAsia" w:ascii="宋体" w:hAnsi="宋体"/>
                <w:szCs w:val="21"/>
              </w:rPr>
              <w:t>按得分由高到低顺序前2名中标候选人入围本项目。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 w:hRule="atLeast"/>
          <w:jc w:val="center"/>
        </w:trPr>
        <w:tc>
          <w:tcPr>
            <w:tcW w:w="891" w:type="dxa"/>
            <w:vAlign w:val="center"/>
          </w:tcPr>
          <w:p>
            <w:pPr>
              <w:adjustRightInd w:val="0"/>
              <w:snapToGrid w:val="0"/>
              <w:spacing w:line="320" w:lineRule="exact"/>
              <w:jc w:val="center"/>
              <w:rPr>
                <w:rFonts w:hint="eastAsia" w:ascii="宋体" w:hAnsi="宋体"/>
                <w:szCs w:val="21"/>
              </w:rPr>
            </w:pPr>
            <w:r>
              <w:rPr>
                <w:rFonts w:hint="eastAsia" w:ascii="宋体" w:hAnsi="宋体"/>
                <w:szCs w:val="21"/>
              </w:rPr>
              <w:t>2.1.1</w:t>
            </w:r>
          </w:p>
          <w:p>
            <w:pPr>
              <w:adjustRightInd w:val="0"/>
              <w:snapToGrid w:val="0"/>
              <w:spacing w:line="320" w:lineRule="exact"/>
              <w:jc w:val="center"/>
              <w:rPr>
                <w:rFonts w:hint="eastAsia" w:ascii="宋体" w:hAnsi="宋体"/>
                <w:szCs w:val="21"/>
              </w:rPr>
            </w:pPr>
            <w:r>
              <w:rPr>
                <w:rFonts w:hint="eastAsia" w:ascii="宋体" w:hAnsi="宋体"/>
                <w:szCs w:val="21"/>
              </w:rPr>
              <w:t>2.1.3</w:t>
            </w:r>
          </w:p>
        </w:tc>
        <w:tc>
          <w:tcPr>
            <w:tcW w:w="1418" w:type="dxa"/>
            <w:vAlign w:val="center"/>
          </w:tcPr>
          <w:p>
            <w:pPr>
              <w:adjustRightInd w:val="0"/>
              <w:snapToGrid w:val="0"/>
              <w:spacing w:line="320" w:lineRule="exact"/>
              <w:jc w:val="center"/>
              <w:rPr>
                <w:rFonts w:hint="eastAsia" w:ascii="宋体" w:hAnsi="宋体"/>
                <w:szCs w:val="21"/>
              </w:rPr>
            </w:pPr>
            <w:bookmarkStart w:id="13" w:name="_Hlk531337375"/>
            <w:r>
              <w:rPr>
                <w:rFonts w:hint="eastAsia" w:ascii="宋体" w:hAnsi="宋体"/>
                <w:szCs w:val="21"/>
              </w:rPr>
              <w:t>形式评审与响应性评审标准</w:t>
            </w:r>
            <w:bookmarkEnd w:id="13"/>
          </w:p>
        </w:tc>
        <w:tc>
          <w:tcPr>
            <w:tcW w:w="7522" w:type="dxa"/>
            <w:vAlign w:val="center"/>
          </w:tcPr>
          <w:p>
            <w:pPr>
              <w:rPr>
                <w:rFonts w:ascii="宋体" w:hAnsi="宋体"/>
                <w:b/>
                <w:szCs w:val="21"/>
              </w:rPr>
            </w:pPr>
          </w:p>
          <w:p>
            <w:pPr>
              <w:rPr>
                <w:rFonts w:hint="eastAsia" w:ascii="宋体" w:hAnsi="宋体"/>
                <w:b/>
                <w:szCs w:val="21"/>
              </w:rPr>
            </w:pPr>
            <w:bookmarkStart w:id="14" w:name="_Hlk63248225"/>
            <w:r>
              <w:rPr>
                <w:rFonts w:hint="eastAsia" w:ascii="宋体" w:hAnsi="宋体"/>
                <w:b/>
                <w:szCs w:val="21"/>
              </w:rPr>
              <w:t>第一信封（商务及技术文件）</w:t>
            </w:r>
            <w:bookmarkEnd w:id="14"/>
            <w:r>
              <w:rPr>
                <w:rFonts w:hint="eastAsia" w:ascii="宋体" w:hAnsi="宋体"/>
                <w:b/>
                <w:szCs w:val="21"/>
              </w:rPr>
              <w:t>评审标准：</w:t>
            </w:r>
          </w:p>
          <w:p>
            <w:pPr>
              <w:ind w:firstLine="420" w:firstLineChars="200"/>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）投标文件按照招标文件规定的格式、内容填写，字迹清晰可辨：</w:t>
            </w:r>
          </w:p>
          <w:p>
            <w:pPr>
              <w:ind w:firstLine="420" w:firstLineChars="200"/>
              <w:rPr>
                <w:rFonts w:hint="eastAsia" w:ascii="宋体" w:hAnsi="宋体"/>
                <w:szCs w:val="21"/>
              </w:rPr>
            </w:pPr>
            <w:r>
              <w:rPr>
                <w:rFonts w:hint="eastAsia" w:ascii="宋体" w:hAnsi="宋体"/>
                <w:szCs w:val="21"/>
              </w:rPr>
              <w:t>a.投标函按招标文件规定填报了项目名称、补遗书编号（如有）、</w:t>
            </w:r>
            <w:r>
              <w:rPr>
                <w:rFonts w:ascii="宋体" w:hAnsi="宋体"/>
                <w:szCs w:val="21"/>
              </w:rPr>
              <w:t>质量</w:t>
            </w:r>
            <w:r>
              <w:rPr>
                <w:rFonts w:hint="eastAsia" w:ascii="宋体" w:hAnsi="宋体"/>
                <w:szCs w:val="21"/>
              </w:rPr>
              <w:t>目标、安全目标、</w:t>
            </w:r>
            <w:r>
              <w:rPr>
                <w:rFonts w:ascii="宋体" w:hAnsi="宋体"/>
                <w:szCs w:val="21"/>
              </w:rPr>
              <w:t>服务期</w:t>
            </w:r>
            <w:r>
              <w:rPr>
                <w:rFonts w:hint="eastAsia" w:ascii="宋体" w:hAnsi="宋体"/>
                <w:szCs w:val="21"/>
              </w:rPr>
              <w:t>、项目负责人；</w:t>
            </w:r>
          </w:p>
          <w:p>
            <w:pPr>
              <w:ind w:firstLine="420" w:firstLineChars="200"/>
              <w:rPr>
                <w:rFonts w:hint="eastAsia" w:ascii="宋体" w:hAnsi="宋体"/>
                <w:szCs w:val="21"/>
              </w:rPr>
            </w:pPr>
            <w:r>
              <w:rPr>
                <w:rFonts w:hint="eastAsia" w:ascii="宋体" w:hAnsi="宋体"/>
                <w:szCs w:val="21"/>
              </w:rPr>
              <w:t>b.投标函附录的所有数据均符合招标文件规定；</w:t>
            </w:r>
          </w:p>
          <w:p>
            <w:pPr>
              <w:ind w:firstLine="420" w:firstLineChars="200"/>
              <w:rPr>
                <w:rFonts w:ascii="宋体" w:hAnsi="宋体"/>
                <w:szCs w:val="21"/>
              </w:rPr>
            </w:pPr>
            <w:r>
              <w:rPr>
                <w:rFonts w:hint="eastAsia" w:ascii="宋体" w:hAnsi="宋体"/>
                <w:szCs w:val="21"/>
              </w:rPr>
              <w:t>c.投标文件组成齐全完整，内容均按规定填写。</w:t>
            </w:r>
          </w:p>
          <w:p>
            <w:pPr>
              <w:ind w:firstLine="420" w:firstLineChars="200"/>
              <w:rPr>
                <w:rFonts w:ascii="宋体" w:hAnsi="宋体"/>
                <w:bCs/>
                <w:szCs w:val="21"/>
              </w:rPr>
            </w:pPr>
            <w:r>
              <w:rPr>
                <w:rFonts w:hint="eastAsia" w:ascii="宋体" w:hAnsi="宋体"/>
                <w:bCs/>
                <w:szCs w:val="21"/>
              </w:rPr>
              <w:t>（</w:t>
            </w:r>
            <w:r>
              <w:rPr>
                <w:rFonts w:ascii="宋体" w:hAnsi="宋体"/>
                <w:bCs/>
                <w:szCs w:val="21"/>
              </w:rPr>
              <w:t>2</w:t>
            </w:r>
            <w:r>
              <w:rPr>
                <w:rFonts w:hint="eastAsia" w:ascii="宋体" w:hAnsi="宋体"/>
                <w:bCs/>
                <w:szCs w:val="21"/>
              </w:rPr>
              <w:t>）投标文件上法定代表人或其授权代理人的签字、投标人的单位章盖章齐全，符合招标文件规定。</w:t>
            </w:r>
          </w:p>
          <w:p>
            <w:pPr>
              <w:ind w:firstLine="420" w:firstLineChars="200"/>
              <w:rPr>
                <w:rFonts w:hint="eastAsia" w:ascii="宋体" w:hAnsi="宋体"/>
                <w:szCs w:val="21"/>
              </w:rPr>
            </w:pPr>
            <w:r>
              <w:rPr>
                <w:rFonts w:hint="eastAsia" w:ascii="宋体" w:hAnsi="宋体"/>
                <w:szCs w:val="21"/>
              </w:rPr>
              <w:t>（</w:t>
            </w:r>
            <w:r>
              <w:rPr>
                <w:rFonts w:ascii="宋体" w:hAnsi="宋体"/>
                <w:szCs w:val="21"/>
              </w:rPr>
              <w:t>3</w:t>
            </w:r>
            <w:r>
              <w:rPr>
                <w:rFonts w:hint="eastAsia" w:ascii="宋体" w:hAnsi="宋体"/>
                <w:szCs w:val="21"/>
              </w:rPr>
              <w:t>）投标人法定代表人授权委托代理人签署投标文件的，须提交授权委托书，并符合下列要求：</w:t>
            </w:r>
          </w:p>
          <w:p>
            <w:pPr>
              <w:ind w:firstLine="420" w:firstLineChars="200"/>
              <w:rPr>
                <w:rFonts w:ascii="宋体" w:hAnsi="宋体"/>
                <w:szCs w:val="21"/>
              </w:rPr>
            </w:pPr>
            <w:r>
              <w:rPr>
                <w:rFonts w:hint="eastAsia" w:ascii="宋体" w:hAnsi="宋体"/>
                <w:szCs w:val="21"/>
              </w:rPr>
              <w:t>a.</w:t>
            </w:r>
            <w:r>
              <w:rPr>
                <w:rFonts w:ascii="宋体" w:hAnsi="宋体"/>
              </w:rPr>
              <w:t>法定代表人和委</w:t>
            </w:r>
            <w:r>
              <w:rPr>
                <w:rFonts w:ascii="宋体" w:hAnsi="宋体"/>
                <w:szCs w:val="21"/>
              </w:rPr>
              <w:t>托代理人</w:t>
            </w:r>
            <w:r>
              <w:rPr>
                <w:rFonts w:hint="eastAsia" w:ascii="宋体" w:hAnsi="宋体"/>
                <w:szCs w:val="21"/>
              </w:rPr>
              <w:t>均</w:t>
            </w:r>
            <w:r>
              <w:rPr>
                <w:rFonts w:ascii="宋体" w:hAnsi="宋体"/>
                <w:szCs w:val="21"/>
              </w:rPr>
              <w:t>在授权书</w:t>
            </w:r>
            <w:r>
              <w:rPr>
                <w:rFonts w:hint="eastAsia" w:ascii="宋体" w:hAnsi="宋体"/>
                <w:szCs w:val="21"/>
              </w:rPr>
              <w:t>上</w:t>
            </w:r>
            <w:r>
              <w:rPr>
                <w:rFonts w:ascii="宋体" w:hAnsi="宋体"/>
                <w:szCs w:val="21"/>
              </w:rPr>
              <w:t>签名；</w:t>
            </w:r>
          </w:p>
          <w:p>
            <w:pPr>
              <w:ind w:firstLine="420" w:firstLineChars="200"/>
              <w:rPr>
                <w:rFonts w:ascii="宋体" w:hAnsi="宋体"/>
                <w:szCs w:val="21"/>
              </w:rPr>
            </w:pPr>
            <w:r>
              <w:rPr>
                <w:rFonts w:hint="eastAsia" w:ascii="宋体" w:hAnsi="宋体"/>
                <w:szCs w:val="21"/>
              </w:rPr>
              <w:t>b.投标函签署的日期与授权委托书出具的日期同日或在其之后，并与投标截止时间同日或在其之前；</w:t>
            </w:r>
          </w:p>
          <w:p>
            <w:pPr>
              <w:ind w:firstLine="420" w:firstLineChars="200"/>
              <w:rPr>
                <w:rFonts w:hint="eastAsia" w:ascii="宋体" w:hAnsi="宋体"/>
                <w:szCs w:val="21"/>
              </w:rPr>
            </w:pPr>
            <w:r>
              <w:rPr>
                <w:rFonts w:hint="eastAsia" w:ascii="宋体" w:hAnsi="宋体"/>
                <w:szCs w:val="21"/>
              </w:rPr>
              <w:t>c.授权委托书只能授权给一名委托代理人。</w:t>
            </w:r>
          </w:p>
          <w:p>
            <w:pPr>
              <w:ind w:firstLine="420" w:firstLineChars="200"/>
              <w:rPr>
                <w:rFonts w:hint="eastAsia"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）投标人法定代表人亲自签署投标文件的，提供了法定代表人身份证明，</w:t>
            </w:r>
            <w:r>
              <w:rPr>
                <w:rFonts w:ascii="宋体" w:hAnsi="宋体"/>
              </w:rPr>
              <w:t>法定代表人</w:t>
            </w:r>
            <w:r>
              <w:rPr>
                <w:rFonts w:hint="eastAsia" w:ascii="宋体" w:hAnsi="宋体"/>
              </w:rPr>
              <w:t>在</w:t>
            </w:r>
            <w:r>
              <w:rPr>
                <w:rFonts w:hint="eastAsia" w:ascii="宋体" w:hAnsi="宋体"/>
                <w:szCs w:val="21"/>
              </w:rPr>
              <w:t>法定代表人身份证明上</w:t>
            </w:r>
            <w:r>
              <w:rPr>
                <w:rFonts w:ascii="宋体" w:hAnsi="宋体"/>
                <w:szCs w:val="21"/>
              </w:rPr>
              <w:t>签名</w:t>
            </w:r>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w:t>
            </w:r>
            <w:r>
              <w:rPr>
                <w:rFonts w:ascii="宋体" w:hAnsi="宋体"/>
                <w:szCs w:val="21"/>
              </w:rPr>
              <w:t>5</w:t>
            </w:r>
            <w:r>
              <w:rPr>
                <w:rFonts w:hint="eastAsia" w:ascii="宋体" w:hAnsi="宋体"/>
                <w:szCs w:val="21"/>
              </w:rPr>
              <w:t>）投标人未以联合体形式投标。</w:t>
            </w:r>
          </w:p>
          <w:p>
            <w:pPr>
              <w:ind w:firstLine="420" w:firstLineChars="200"/>
              <w:rPr>
                <w:rFonts w:hint="eastAsia" w:ascii="宋体" w:hAnsi="宋体"/>
                <w:szCs w:val="21"/>
              </w:rPr>
            </w:pPr>
            <w:r>
              <w:rPr>
                <w:rFonts w:hint="eastAsia" w:ascii="宋体" w:hAnsi="宋体"/>
                <w:szCs w:val="21"/>
              </w:rPr>
              <w:t>（</w:t>
            </w:r>
            <w:r>
              <w:rPr>
                <w:rFonts w:ascii="宋体" w:hAnsi="宋体"/>
                <w:szCs w:val="21"/>
              </w:rPr>
              <w:t>6</w:t>
            </w:r>
            <w:r>
              <w:rPr>
                <w:rFonts w:hint="eastAsia" w:ascii="宋体" w:hAnsi="宋体"/>
                <w:szCs w:val="21"/>
              </w:rPr>
              <w:t>）同一投标人未同时提交两个以上不同的投标文件。</w:t>
            </w:r>
          </w:p>
          <w:p>
            <w:pPr>
              <w:ind w:firstLine="420" w:firstLineChars="20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）投标文件第一信封中未出现有关投标报价的内容。</w:t>
            </w:r>
          </w:p>
          <w:p>
            <w:pPr>
              <w:ind w:firstLine="420" w:firstLineChars="200"/>
              <w:rPr>
                <w:rFonts w:hint="eastAsia" w:ascii="宋体" w:hAnsi="宋体"/>
                <w:szCs w:val="21"/>
              </w:rPr>
            </w:pPr>
            <w:r>
              <w:rPr>
                <w:rFonts w:hint="eastAsia" w:ascii="宋体" w:hAnsi="宋体"/>
                <w:szCs w:val="21"/>
              </w:rPr>
              <w:t>（</w:t>
            </w:r>
            <w:r>
              <w:rPr>
                <w:rFonts w:ascii="宋体" w:hAnsi="宋体"/>
                <w:szCs w:val="21"/>
              </w:rPr>
              <w:t>8</w:t>
            </w:r>
            <w:r>
              <w:rPr>
                <w:rFonts w:hint="eastAsia" w:ascii="宋体" w:hAnsi="宋体"/>
                <w:szCs w:val="21"/>
              </w:rPr>
              <w:t>）投标文件载明的招标项目完成期限未超过招标文件规定的时限。</w:t>
            </w:r>
          </w:p>
          <w:p>
            <w:pPr>
              <w:ind w:firstLine="420" w:firstLineChars="200"/>
              <w:rPr>
                <w:rFonts w:hint="eastAsia" w:ascii="宋体" w:hAnsi="宋体"/>
                <w:szCs w:val="21"/>
              </w:rPr>
            </w:pPr>
            <w:r>
              <w:rPr>
                <w:rFonts w:hint="eastAsia" w:ascii="宋体" w:hAnsi="宋体"/>
                <w:szCs w:val="21"/>
              </w:rPr>
              <w:t>（</w:t>
            </w:r>
            <w:r>
              <w:rPr>
                <w:rFonts w:ascii="宋体" w:hAnsi="宋体"/>
                <w:szCs w:val="21"/>
              </w:rPr>
              <w:t>9</w:t>
            </w:r>
            <w:r>
              <w:rPr>
                <w:rFonts w:hint="eastAsia" w:ascii="宋体" w:hAnsi="宋体"/>
                <w:szCs w:val="21"/>
              </w:rPr>
              <w:t>）投标文件对招标文件的实质性要求和条件作出响应。</w:t>
            </w:r>
          </w:p>
          <w:p>
            <w:pPr>
              <w:ind w:firstLine="420" w:firstLineChars="200"/>
              <w:rPr>
                <w:rFonts w:hint="eastAsia" w:ascii="宋体" w:hAnsi="宋体"/>
                <w:szCs w:val="21"/>
              </w:rPr>
            </w:pPr>
            <w:r>
              <w:rPr>
                <w:rFonts w:hint="eastAsia" w:ascii="宋体" w:hAnsi="宋体"/>
                <w:szCs w:val="21"/>
              </w:rPr>
              <w:t>（</w:t>
            </w:r>
            <w:r>
              <w:rPr>
                <w:rFonts w:ascii="宋体" w:hAnsi="宋体"/>
                <w:szCs w:val="21"/>
              </w:rPr>
              <w:t>10</w:t>
            </w:r>
            <w:r>
              <w:rPr>
                <w:rFonts w:hint="eastAsia" w:ascii="宋体" w:hAnsi="宋体"/>
                <w:szCs w:val="21"/>
              </w:rPr>
              <w:t>）权利义务符合招标文件规定：</w:t>
            </w:r>
          </w:p>
          <w:p>
            <w:pPr>
              <w:ind w:firstLine="420" w:firstLineChars="200"/>
              <w:rPr>
                <w:rFonts w:hint="eastAsia" w:ascii="宋体" w:hAnsi="宋体"/>
                <w:szCs w:val="21"/>
              </w:rPr>
            </w:pPr>
            <w:r>
              <w:rPr>
                <w:rFonts w:hint="eastAsia" w:ascii="宋体" w:hAnsi="宋体"/>
                <w:szCs w:val="21"/>
              </w:rPr>
              <w:t>a．投标人应接受招标文件规定的风险划分原则，未提出新的风险划分办法；</w:t>
            </w:r>
          </w:p>
          <w:p>
            <w:pPr>
              <w:ind w:firstLine="420" w:firstLineChars="200"/>
              <w:rPr>
                <w:rFonts w:hint="eastAsia" w:ascii="宋体" w:hAnsi="宋体"/>
                <w:szCs w:val="21"/>
              </w:rPr>
            </w:pPr>
            <w:r>
              <w:rPr>
                <w:rFonts w:hint="eastAsia" w:ascii="宋体" w:hAnsi="宋体"/>
                <w:szCs w:val="21"/>
              </w:rPr>
              <w:t>b．投标人未增加发包人的责任范围，或减少投标人义务；</w:t>
            </w:r>
          </w:p>
          <w:p>
            <w:pPr>
              <w:ind w:firstLine="420" w:firstLineChars="200"/>
              <w:rPr>
                <w:rFonts w:hint="eastAsia" w:ascii="宋体" w:hAnsi="宋体"/>
                <w:szCs w:val="21"/>
              </w:rPr>
            </w:pPr>
            <w:r>
              <w:rPr>
                <w:rFonts w:hint="eastAsia" w:ascii="宋体" w:hAnsi="宋体"/>
                <w:szCs w:val="21"/>
              </w:rPr>
              <w:t>c．投标人未提出不同的验收、计量、支付办法；</w:t>
            </w:r>
          </w:p>
          <w:p>
            <w:pPr>
              <w:ind w:firstLine="420" w:firstLineChars="200"/>
              <w:rPr>
                <w:rFonts w:hint="eastAsia" w:ascii="宋体" w:hAnsi="宋体"/>
                <w:szCs w:val="21"/>
              </w:rPr>
            </w:pPr>
            <w:r>
              <w:rPr>
                <w:rFonts w:hint="eastAsia" w:ascii="宋体" w:hAnsi="宋体"/>
                <w:szCs w:val="21"/>
              </w:rPr>
              <w:t>d．投标人对合同纠纷、事故处理办法未提出异议；</w:t>
            </w:r>
          </w:p>
          <w:p>
            <w:pPr>
              <w:ind w:firstLine="420" w:firstLineChars="200"/>
              <w:rPr>
                <w:rFonts w:hint="eastAsia" w:ascii="宋体" w:hAnsi="宋体"/>
                <w:szCs w:val="21"/>
              </w:rPr>
            </w:pPr>
            <w:r>
              <w:rPr>
                <w:rFonts w:hint="eastAsia" w:ascii="宋体" w:hAnsi="宋体"/>
                <w:szCs w:val="21"/>
              </w:rPr>
              <w:t>e．投标人在投标活动中无欺诈行为；</w:t>
            </w:r>
          </w:p>
          <w:p>
            <w:pPr>
              <w:ind w:firstLine="420" w:firstLineChars="200"/>
              <w:rPr>
                <w:rFonts w:ascii="宋体" w:hAnsi="宋体"/>
                <w:szCs w:val="21"/>
              </w:rPr>
            </w:pPr>
            <w:r>
              <w:rPr>
                <w:rFonts w:hint="eastAsia" w:ascii="宋体" w:hAnsi="宋体"/>
                <w:szCs w:val="21"/>
              </w:rPr>
              <w:t>f．投标人未对合同条款有重要保留。</w:t>
            </w:r>
          </w:p>
          <w:p>
            <w:pPr>
              <w:ind w:firstLine="420" w:firstLineChars="200"/>
              <w:rPr>
                <w:rFonts w:hint="eastAsia" w:ascii="宋体" w:hAnsi="宋体"/>
                <w:color w:val="000000"/>
                <w:szCs w:val="21"/>
              </w:rPr>
            </w:pPr>
            <w:r>
              <w:rPr>
                <w:rFonts w:hint="eastAsia" w:ascii="宋体" w:hAnsi="宋体"/>
                <w:szCs w:val="21"/>
              </w:rPr>
              <w:t>（</w:t>
            </w:r>
            <w:r>
              <w:rPr>
                <w:rFonts w:ascii="宋体" w:hAnsi="宋体"/>
                <w:szCs w:val="21"/>
              </w:rPr>
              <w:t>11</w:t>
            </w:r>
            <w:r>
              <w:rPr>
                <w:rFonts w:hint="eastAsia" w:ascii="宋体" w:hAnsi="宋体"/>
                <w:szCs w:val="21"/>
              </w:rPr>
              <w:t>）</w:t>
            </w:r>
            <w:r>
              <w:rPr>
                <w:rFonts w:hint="eastAsia" w:ascii="宋体" w:hAnsi="宋体"/>
                <w:color w:val="000000"/>
                <w:szCs w:val="21"/>
              </w:rPr>
              <w:t>投标文件正、副本份数符合第二章“投标人须知”第3.7.4项规定。</w:t>
            </w:r>
          </w:p>
          <w:p>
            <w:pPr>
              <w:rPr>
                <w:rFonts w:hint="eastAsia" w:ascii="宋体" w:hAnsi="宋体"/>
                <w:b/>
                <w:szCs w:val="21"/>
              </w:rPr>
            </w:pPr>
            <w:r>
              <w:rPr>
                <w:rFonts w:hint="eastAsia" w:ascii="宋体" w:hAnsi="宋体"/>
                <w:b/>
                <w:szCs w:val="21"/>
              </w:rPr>
              <w:t>第二信封（报价文件）评审标准：</w:t>
            </w:r>
          </w:p>
          <w:p>
            <w:pPr>
              <w:ind w:firstLine="420" w:firstLineChars="200"/>
              <w:rPr>
                <w:rFonts w:hint="eastAsia" w:ascii="宋体" w:hAnsi="宋体"/>
                <w:szCs w:val="21"/>
              </w:rPr>
            </w:pPr>
            <w:r>
              <w:rPr>
                <w:rFonts w:hint="eastAsia" w:ascii="宋体" w:hAnsi="宋体"/>
                <w:szCs w:val="21"/>
              </w:rPr>
              <w:t>（1）投标文件按照招标文件规定的格式、内容填写，字迹清晰可辨：</w:t>
            </w:r>
          </w:p>
          <w:p>
            <w:pPr>
              <w:ind w:firstLine="420" w:firstLineChars="200"/>
              <w:rPr>
                <w:rFonts w:hint="eastAsia" w:ascii="宋体" w:hAnsi="宋体"/>
                <w:szCs w:val="21"/>
              </w:rPr>
            </w:pPr>
            <w:r>
              <w:rPr>
                <w:rFonts w:hint="eastAsia" w:ascii="宋体" w:hAnsi="宋体"/>
                <w:szCs w:val="21"/>
              </w:rPr>
              <w:t>a.投标函按招标文件规定填报了项目名称、补遗书编号（如有）、投标价（包括大写金额和小写金额）；</w:t>
            </w:r>
          </w:p>
          <w:p>
            <w:pPr>
              <w:ind w:firstLine="420" w:firstLineChars="200"/>
              <w:rPr>
                <w:rFonts w:hint="eastAsia" w:ascii="宋体" w:hAnsi="宋体"/>
                <w:szCs w:val="21"/>
              </w:rPr>
            </w:pPr>
            <w:r>
              <w:rPr>
                <w:rFonts w:ascii="宋体" w:hAnsi="宋体"/>
                <w:szCs w:val="21"/>
              </w:rPr>
              <w:t>b</w:t>
            </w:r>
            <w:r>
              <w:rPr>
                <w:rFonts w:hint="eastAsia" w:ascii="宋体" w:hAnsi="宋体"/>
                <w:szCs w:val="21"/>
              </w:rPr>
              <w:t>.投标文件组成齐全完整，内容均按规定填写。</w:t>
            </w:r>
          </w:p>
          <w:p>
            <w:pPr>
              <w:ind w:firstLine="420" w:firstLineChars="200"/>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）投标文件上法定代表人或其委托代理人的签字、投标人的单位章盖章齐全，符合招标文件规定。</w:t>
            </w:r>
          </w:p>
          <w:p>
            <w:pPr>
              <w:ind w:firstLine="420" w:firstLineChars="200"/>
              <w:rPr>
                <w:rFonts w:hint="eastAsia" w:ascii="宋体" w:hAnsi="宋体"/>
                <w:szCs w:val="21"/>
              </w:rPr>
            </w:pPr>
            <w:r>
              <w:rPr>
                <w:rFonts w:hint="eastAsia" w:ascii="宋体" w:hAnsi="宋体"/>
                <w:szCs w:val="21"/>
              </w:rPr>
              <w:t>（</w:t>
            </w:r>
            <w:r>
              <w:rPr>
                <w:rFonts w:ascii="宋体" w:hAnsi="宋体"/>
                <w:szCs w:val="21"/>
              </w:rPr>
              <w:t>3</w:t>
            </w:r>
            <w:r>
              <w:rPr>
                <w:rFonts w:hint="eastAsia" w:ascii="宋体" w:hAnsi="宋体"/>
                <w:szCs w:val="21"/>
              </w:rPr>
              <w:t>）投标报价未超过招标文件设定的最高投标限价。</w:t>
            </w:r>
          </w:p>
          <w:p>
            <w:pPr>
              <w:ind w:firstLine="420" w:firstLineChars="200"/>
              <w:rPr>
                <w:rFonts w:hint="eastAsia"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）投标报价的大写金额能够确定具体数值。</w:t>
            </w:r>
          </w:p>
          <w:p>
            <w:pPr>
              <w:ind w:firstLine="420" w:firstLineChars="200"/>
              <w:rPr>
                <w:rFonts w:hint="eastAsia" w:ascii="宋体" w:hAnsi="宋体"/>
                <w:szCs w:val="21"/>
              </w:rPr>
            </w:pPr>
            <w:r>
              <w:rPr>
                <w:rFonts w:hint="eastAsia" w:ascii="宋体" w:hAnsi="宋体"/>
                <w:szCs w:val="21"/>
              </w:rPr>
              <w:t>（</w:t>
            </w:r>
            <w:r>
              <w:rPr>
                <w:rFonts w:ascii="宋体" w:hAnsi="宋体"/>
                <w:szCs w:val="21"/>
              </w:rPr>
              <w:t>5</w:t>
            </w:r>
            <w:r>
              <w:rPr>
                <w:rFonts w:hint="eastAsia" w:ascii="宋体" w:hAnsi="宋体"/>
                <w:szCs w:val="21"/>
              </w:rPr>
              <w:t>）同一投标人提交两个以上不同的投标报价。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24" w:hRule="atLeast"/>
          <w:jc w:val="center"/>
        </w:trPr>
        <w:tc>
          <w:tcPr>
            <w:tcW w:w="891" w:type="dxa"/>
            <w:vAlign w:val="center"/>
          </w:tcPr>
          <w:p>
            <w:pPr>
              <w:adjustRightInd w:val="0"/>
              <w:snapToGrid w:val="0"/>
              <w:jc w:val="center"/>
              <w:rPr>
                <w:rFonts w:hint="eastAsia" w:ascii="宋体" w:hAnsi="宋体"/>
                <w:szCs w:val="21"/>
              </w:rPr>
            </w:pPr>
            <w:bookmarkStart w:id="15" w:name="_Hlk51596391"/>
            <w:r>
              <w:rPr>
                <w:rFonts w:hint="eastAsia" w:ascii="宋体" w:hAnsi="宋体"/>
                <w:szCs w:val="21"/>
              </w:rPr>
              <w:t>2</w:t>
            </w:r>
            <w:r>
              <w:rPr>
                <w:rFonts w:ascii="宋体" w:hAnsi="宋体"/>
                <w:szCs w:val="21"/>
              </w:rPr>
              <w:t>.1.2</w:t>
            </w:r>
          </w:p>
        </w:tc>
        <w:tc>
          <w:tcPr>
            <w:tcW w:w="1418" w:type="dxa"/>
            <w:vAlign w:val="center"/>
          </w:tcPr>
          <w:p>
            <w:pPr>
              <w:adjustRightInd w:val="0"/>
              <w:snapToGrid w:val="0"/>
              <w:jc w:val="center"/>
              <w:rPr>
                <w:rFonts w:hint="eastAsia" w:ascii="宋体" w:hAnsi="宋体"/>
                <w:szCs w:val="21"/>
              </w:rPr>
            </w:pPr>
            <w:bookmarkStart w:id="16" w:name="_Hlk51596400"/>
            <w:r>
              <w:rPr>
                <w:rFonts w:hint="eastAsia" w:ascii="宋体" w:hAnsi="宋体"/>
                <w:szCs w:val="21"/>
              </w:rPr>
              <w:t>资格评审标准</w:t>
            </w:r>
            <w:bookmarkEnd w:id="16"/>
          </w:p>
        </w:tc>
        <w:tc>
          <w:tcPr>
            <w:tcW w:w="7522" w:type="dxa"/>
            <w:vAlign w:val="center"/>
          </w:tcPr>
          <w:p>
            <w:pPr>
              <w:ind w:firstLine="420" w:firstLineChars="200"/>
              <w:rPr>
                <w:rFonts w:ascii="宋体" w:hAnsi="宋体"/>
                <w:szCs w:val="21"/>
              </w:rPr>
            </w:pPr>
            <w:bookmarkStart w:id="17" w:name="_Hlk51596411"/>
            <w:r>
              <w:rPr>
                <w:rFonts w:hint="eastAsia" w:ascii="宋体" w:hAnsi="宋体"/>
                <w:szCs w:val="21"/>
              </w:rPr>
              <w:t>（1）投标人具备有效的营业执照、基本账户开户许可证或</w:t>
            </w:r>
            <w:bookmarkStart w:id="18" w:name="_Hlk37672397"/>
            <w:r>
              <w:rPr>
                <w:rFonts w:hint="eastAsia" w:ascii="宋体" w:hAnsi="宋体"/>
                <w:szCs w:val="21"/>
              </w:rPr>
              <w:t>基本存款账户信息</w:t>
            </w:r>
            <w:bookmarkEnd w:id="18"/>
            <w:r>
              <w:rPr>
                <w:rFonts w:hint="eastAsia" w:ascii="宋体" w:hAnsi="宋体"/>
                <w:szCs w:val="21"/>
              </w:rPr>
              <w:t>；</w:t>
            </w:r>
          </w:p>
          <w:bookmarkEnd w:id="17"/>
          <w:p>
            <w:pPr>
              <w:ind w:firstLine="420" w:firstLineChars="200"/>
              <w:rPr>
                <w:rFonts w:hint="eastAsia" w:ascii="宋体" w:hAnsi="宋体"/>
                <w:szCs w:val="21"/>
              </w:rPr>
            </w:pPr>
            <w:r>
              <w:rPr>
                <w:rFonts w:hint="eastAsia" w:ascii="宋体" w:hAnsi="宋体"/>
                <w:szCs w:val="21"/>
              </w:rPr>
              <w:t>（2）投标人的资质等级符合招标文件规定；</w:t>
            </w:r>
          </w:p>
          <w:p>
            <w:pPr>
              <w:ind w:firstLine="420" w:firstLineChars="200"/>
              <w:rPr>
                <w:rFonts w:hint="eastAsia" w:ascii="宋体" w:hAnsi="宋体"/>
                <w:szCs w:val="21"/>
              </w:rPr>
            </w:pPr>
            <w:r>
              <w:rPr>
                <w:rFonts w:hint="eastAsia" w:ascii="宋体" w:hAnsi="宋体"/>
                <w:szCs w:val="21"/>
              </w:rPr>
              <w:t>（3）投标人的类似项目业绩符合招标文件规定；</w:t>
            </w:r>
          </w:p>
          <w:p>
            <w:pPr>
              <w:ind w:firstLine="420" w:firstLineChars="200"/>
              <w:rPr>
                <w:rFonts w:hint="eastAsia"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）投标人不存在第二章“投标人须知”第1.4.3项或第1.4.4项规定的任何一种情形；</w:t>
            </w:r>
          </w:p>
        </w:tc>
      </w:tr>
      <w:bookmark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27" w:hRule="atLeast"/>
          <w:jc w:val="center"/>
        </w:trPr>
        <w:tc>
          <w:tcPr>
            <w:tcW w:w="891" w:type="dxa"/>
            <w:vAlign w:val="center"/>
          </w:tcPr>
          <w:p>
            <w:pPr>
              <w:adjustRightInd w:val="0"/>
              <w:snapToGrid w:val="0"/>
              <w:spacing w:line="300" w:lineRule="exact"/>
              <w:jc w:val="center"/>
              <w:rPr>
                <w:rFonts w:hint="eastAsia" w:ascii="宋体" w:hAnsi="宋体"/>
                <w:b/>
                <w:szCs w:val="21"/>
              </w:rPr>
            </w:pPr>
            <w:r>
              <w:rPr>
                <w:rFonts w:hint="eastAsia" w:ascii="宋体" w:hAnsi="宋体"/>
                <w:b/>
                <w:szCs w:val="21"/>
              </w:rPr>
              <w:t>条款号</w:t>
            </w:r>
          </w:p>
        </w:tc>
        <w:tc>
          <w:tcPr>
            <w:tcW w:w="1418" w:type="dxa"/>
            <w:vAlign w:val="center"/>
          </w:tcPr>
          <w:p>
            <w:pPr>
              <w:adjustRightInd w:val="0"/>
              <w:snapToGrid w:val="0"/>
              <w:spacing w:line="300" w:lineRule="exact"/>
              <w:jc w:val="center"/>
              <w:rPr>
                <w:rFonts w:hint="eastAsia" w:ascii="宋体" w:hAnsi="宋体"/>
                <w:b/>
                <w:szCs w:val="21"/>
              </w:rPr>
            </w:pPr>
            <w:r>
              <w:rPr>
                <w:rFonts w:hint="eastAsia" w:ascii="宋体" w:hAnsi="宋体"/>
                <w:b/>
                <w:szCs w:val="21"/>
              </w:rPr>
              <w:t>条款内容</w:t>
            </w:r>
          </w:p>
        </w:tc>
        <w:tc>
          <w:tcPr>
            <w:tcW w:w="7522" w:type="dxa"/>
            <w:vAlign w:val="center"/>
          </w:tcPr>
          <w:p>
            <w:pPr>
              <w:adjustRightInd w:val="0"/>
              <w:snapToGrid w:val="0"/>
              <w:spacing w:line="300" w:lineRule="exact"/>
              <w:jc w:val="center"/>
              <w:rPr>
                <w:rFonts w:hint="eastAsia" w:ascii="宋体" w:hAnsi="宋体"/>
                <w:b/>
                <w:szCs w:val="21"/>
              </w:rPr>
            </w:pPr>
            <w:r>
              <w:rPr>
                <w:rFonts w:hint="eastAsia" w:ascii="宋体" w:hAnsi="宋体"/>
                <w:b/>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18" w:hRule="atLeast"/>
          <w:jc w:val="center"/>
        </w:trPr>
        <w:tc>
          <w:tcPr>
            <w:tcW w:w="891" w:type="dxa"/>
            <w:vAlign w:val="center"/>
          </w:tcPr>
          <w:p>
            <w:pPr>
              <w:adjustRightInd w:val="0"/>
              <w:snapToGrid w:val="0"/>
              <w:jc w:val="center"/>
              <w:rPr>
                <w:rFonts w:hint="eastAsia" w:ascii="宋体" w:hAnsi="宋体"/>
              </w:rPr>
            </w:pPr>
            <w:r>
              <w:rPr>
                <w:rFonts w:hint="eastAsia" w:ascii="宋体" w:hAnsi="宋体"/>
              </w:rPr>
              <w:t>2.2.1</w:t>
            </w:r>
          </w:p>
        </w:tc>
        <w:tc>
          <w:tcPr>
            <w:tcW w:w="1418" w:type="dxa"/>
            <w:vAlign w:val="center"/>
          </w:tcPr>
          <w:p>
            <w:pPr>
              <w:ind w:right="113"/>
              <w:jc w:val="center"/>
              <w:rPr>
                <w:rFonts w:ascii="宋体" w:hAnsi="宋体"/>
                <w:szCs w:val="21"/>
              </w:rPr>
            </w:pPr>
            <w:r>
              <w:rPr>
                <w:rFonts w:hint="eastAsia" w:ascii="宋体" w:hAnsi="宋体"/>
                <w:szCs w:val="21"/>
              </w:rPr>
              <w:t>分值构成</w:t>
            </w:r>
          </w:p>
          <w:p>
            <w:pPr>
              <w:adjustRightInd w:val="0"/>
              <w:snapToGrid w:val="0"/>
              <w:jc w:val="center"/>
              <w:rPr>
                <w:rFonts w:hint="eastAsia" w:ascii="宋体" w:hAnsi="宋体"/>
              </w:rPr>
            </w:pPr>
            <w:r>
              <w:rPr>
                <w:rFonts w:hint="eastAsia" w:ascii="宋体" w:hAnsi="宋体"/>
                <w:szCs w:val="21"/>
              </w:rPr>
              <w:t>（总分100分）</w:t>
            </w:r>
          </w:p>
        </w:tc>
        <w:tc>
          <w:tcPr>
            <w:tcW w:w="7522" w:type="dxa"/>
            <w:vAlign w:val="center"/>
          </w:tcPr>
          <w:p>
            <w:pPr>
              <w:ind w:firstLine="466" w:firstLineChars="222"/>
              <w:rPr>
                <w:rFonts w:hint="eastAsia" w:ascii="宋体" w:hAnsi="宋体"/>
                <w:szCs w:val="21"/>
              </w:rPr>
            </w:pPr>
            <w:r>
              <w:rPr>
                <w:rFonts w:hint="eastAsia" w:ascii="宋体" w:hAnsi="宋体"/>
                <w:szCs w:val="21"/>
              </w:rPr>
              <w:t>服务方案：</w:t>
            </w:r>
            <w:r>
              <w:rPr>
                <w:rFonts w:ascii="宋体" w:hAnsi="宋体"/>
                <w:szCs w:val="21"/>
              </w:rPr>
              <w:t>5</w:t>
            </w:r>
            <w:r>
              <w:rPr>
                <w:rFonts w:hint="eastAsia" w:ascii="宋体" w:hAnsi="宋体"/>
                <w:szCs w:val="21"/>
              </w:rPr>
              <w:t>0分</w:t>
            </w:r>
          </w:p>
          <w:p>
            <w:pPr>
              <w:adjustRightInd w:val="0"/>
              <w:snapToGrid w:val="0"/>
              <w:ind w:firstLine="466" w:firstLineChars="222"/>
              <w:rPr>
                <w:rFonts w:ascii="宋体" w:hAnsi="宋体"/>
                <w:szCs w:val="21"/>
              </w:rPr>
            </w:pPr>
            <w:r>
              <w:rPr>
                <w:rFonts w:hint="eastAsia" w:ascii="宋体" w:hAnsi="宋体"/>
                <w:szCs w:val="21"/>
              </w:rPr>
              <w:t>业    绩：</w:t>
            </w:r>
            <w:r>
              <w:rPr>
                <w:rFonts w:ascii="宋体" w:hAnsi="宋体"/>
                <w:szCs w:val="21"/>
              </w:rPr>
              <w:t>4</w:t>
            </w:r>
            <w:r>
              <w:rPr>
                <w:rFonts w:hint="eastAsia" w:ascii="宋体" w:hAnsi="宋体"/>
                <w:szCs w:val="21"/>
              </w:rPr>
              <w:t>0分</w:t>
            </w:r>
          </w:p>
          <w:p>
            <w:pPr>
              <w:adjustRightInd w:val="0"/>
              <w:snapToGrid w:val="0"/>
              <w:ind w:firstLine="466" w:firstLineChars="222"/>
              <w:rPr>
                <w:rFonts w:hint="eastAsia" w:ascii="宋体" w:hAnsi="宋体"/>
              </w:rPr>
            </w:pPr>
            <w:r>
              <w:rPr>
                <w:rFonts w:hint="eastAsia" w:ascii="宋体" w:hAnsi="宋体"/>
                <w:szCs w:val="21"/>
              </w:rPr>
              <w:t>评 标 价：</w:t>
            </w:r>
            <w:r>
              <w:rPr>
                <w:rFonts w:ascii="宋体" w:hAnsi="宋体"/>
                <w:szCs w:val="21"/>
              </w:rPr>
              <w:t>10</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18" w:hRule="atLeast"/>
          <w:jc w:val="center"/>
        </w:trPr>
        <w:tc>
          <w:tcPr>
            <w:tcW w:w="891" w:type="dxa"/>
            <w:vAlign w:val="center"/>
          </w:tcPr>
          <w:p>
            <w:pPr>
              <w:adjustRightInd w:val="0"/>
              <w:snapToGrid w:val="0"/>
              <w:jc w:val="center"/>
              <w:rPr>
                <w:rFonts w:hint="eastAsia" w:ascii="宋体" w:hAnsi="宋体"/>
              </w:rPr>
            </w:pPr>
            <w:r>
              <w:rPr>
                <w:rFonts w:hint="eastAsia" w:ascii="宋体" w:hAnsi="宋体"/>
              </w:rPr>
              <w:t>2.2.2</w:t>
            </w:r>
          </w:p>
        </w:tc>
        <w:tc>
          <w:tcPr>
            <w:tcW w:w="1418" w:type="dxa"/>
            <w:vAlign w:val="center"/>
          </w:tcPr>
          <w:p>
            <w:pPr>
              <w:ind w:right="113"/>
              <w:jc w:val="center"/>
              <w:rPr>
                <w:rFonts w:hint="eastAsia" w:ascii="宋体" w:hAnsi="宋体"/>
                <w:szCs w:val="21"/>
              </w:rPr>
            </w:pPr>
            <w:r>
              <w:rPr>
                <w:rFonts w:hint="eastAsia" w:ascii="宋体" w:hAnsi="宋体"/>
                <w:color w:val="000000"/>
              </w:rPr>
              <w:t>评标</w:t>
            </w:r>
            <w:r>
              <w:rPr>
                <w:rFonts w:ascii="宋体" w:hAnsi="宋体"/>
                <w:color w:val="000000"/>
              </w:rPr>
              <w:t>基准价计算方法</w:t>
            </w:r>
          </w:p>
        </w:tc>
        <w:tc>
          <w:tcPr>
            <w:tcW w:w="7522" w:type="dxa"/>
            <w:vAlign w:val="center"/>
          </w:tcPr>
          <w:p>
            <w:pPr>
              <w:rPr>
                <w:rFonts w:hint="eastAsia" w:ascii="宋体" w:hAnsi="宋体"/>
                <w:szCs w:val="21"/>
              </w:rPr>
            </w:pPr>
            <w:r>
              <w:rPr>
                <w:rFonts w:hint="eastAsia" w:ascii="宋体" w:hAnsi="宋体"/>
                <w:szCs w:val="21"/>
              </w:rPr>
              <w:t>评标基准价的计算：</w:t>
            </w:r>
          </w:p>
          <w:p>
            <w:pPr>
              <w:ind w:firstLine="420" w:firstLineChars="200"/>
              <w:rPr>
                <w:rFonts w:hint="eastAsia" w:ascii="宋体" w:hAnsi="宋体"/>
                <w:szCs w:val="21"/>
              </w:rPr>
            </w:pPr>
            <w:r>
              <w:rPr>
                <w:rFonts w:hint="eastAsia" w:ascii="宋体" w:hAnsi="宋体"/>
                <w:szCs w:val="21"/>
              </w:rPr>
              <w:t>在开标现场，招标人将当场计算并宣布评标基准价。</w:t>
            </w:r>
          </w:p>
          <w:p>
            <w:pPr>
              <w:ind w:firstLine="420" w:firstLineChars="200"/>
              <w:rPr>
                <w:rFonts w:hint="eastAsia" w:ascii="宋体" w:hAnsi="宋体"/>
                <w:szCs w:val="21"/>
              </w:rPr>
            </w:pPr>
            <w:r>
              <w:rPr>
                <w:rFonts w:hint="eastAsia" w:ascii="宋体" w:hAnsi="宋体"/>
                <w:szCs w:val="21"/>
              </w:rPr>
              <w:t>(1)评标价的确定：</w:t>
            </w:r>
          </w:p>
          <w:p>
            <w:pPr>
              <w:ind w:firstLine="420" w:firstLineChars="200"/>
              <w:rPr>
                <w:rFonts w:hint="eastAsia" w:ascii="宋体" w:hAnsi="宋体"/>
                <w:szCs w:val="21"/>
              </w:rPr>
            </w:pPr>
            <w:r>
              <w:rPr>
                <w:rFonts w:hint="eastAsia" w:ascii="宋体" w:hAnsi="宋体"/>
                <w:szCs w:val="21"/>
              </w:rPr>
              <w:t>评标价=投标函文字报价</w:t>
            </w:r>
          </w:p>
          <w:p>
            <w:pPr>
              <w:ind w:firstLine="420" w:firstLineChars="200"/>
              <w:rPr>
                <w:rFonts w:hint="eastAsia" w:ascii="宋体" w:hAnsi="宋体"/>
                <w:szCs w:val="21"/>
              </w:rPr>
            </w:pPr>
            <w:r>
              <w:rPr>
                <w:rFonts w:hint="eastAsia" w:ascii="宋体" w:hAnsi="宋体"/>
                <w:szCs w:val="21"/>
              </w:rPr>
              <w:t>(2)评标价平均值的计算：</w:t>
            </w:r>
          </w:p>
          <w:p>
            <w:pPr>
              <w:ind w:firstLine="420" w:firstLineChars="200"/>
              <w:rPr>
                <w:rFonts w:ascii="宋体" w:hAnsi="宋体"/>
                <w:szCs w:val="21"/>
              </w:rPr>
            </w:pPr>
            <w:r>
              <w:rPr>
                <w:rFonts w:hint="eastAsia" w:ascii="宋体" w:hAnsi="宋体"/>
                <w:szCs w:val="21"/>
              </w:rPr>
              <w:t>除按第二章“投标人须知”第5.2.</w:t>
            </w:r>
            <w:r>
              <w:rPr>
                <w:rFonts w:ascii="宋体" w:hAnsi="宋体"/>
                <w:szCs w:val="21"/>
              </w:rPr>
              <w:t>4</w:t>
            </w:r>
            <w:r>
              <w:rPr>
                <w:rFonts w:hint="eastAsia" w:ascii="宋体" w:hAnsi="宋体"/>
                <w:szCs w:val="21"/>
              </w:rPr>
              <w:t>项规定开标现场被宣布为不进入评标基准价计算的投标报价之外，所有投标人的评标价去掉一个最高值和一个最低值后的算术平均值即为评标价平均值（如果参与评标基准价计算的有效投标人少于5家时，则计算评标价平均值时不去掉最高值和最低值）：</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(3)评标基准价的确定：</w:t>
            </w:r>
          </w:p>
          <w:p>
            <w:pPr>
              <w:ind w:firstLine="420" w:firstLineChars="200"/>
              <w:rPr>
                <w:rFonts w:hint="eastAsia" w:ascii="宋体" w:hAnsi="宋体"/>
                <w:szCs w:val="21"/>
              </w:rPr>
            </w:pPr>
            <w:r>
              <w:rPr>
                <w:rFonts w:hint="eastAsia" w:ascii="宋体" w:hAnsi="宋体"/>
                <w:szCs w:val="21"/>
              </w:rPr>
              <w:t>评标价平均值作为评标基准价。</w:t>
            </w:r>
          </w:p>
          <w:p>
            <w:pPr>
              <w:ind w:firstLine="420" w:firstLineChars="200"/>
              <w:rPr>
                <w:rFonts w:ascii="宋体" w:hAnsi="宋体"/>
                <w:szCs w:val="21"/>
              </w:rPr>
            </w:pPr>
            <w:r>
              <w:rPr>
                <w:rFonts w:hint="eastAsia" w:ascii="宋体" w:hAnsi="宋体"/>
                <w:szCs w:val="21"/>
              </w:rPr>
              <w:t>在评标过程中，评标委员会应对招标人计算的评标基准价进行复核，存在计算错误的应予以修正并在评标报告中作出说明。除此之外，评标基准价在整个评标期间保持不变，不随任何因素发生变化。</w:t>
            </w:r>
          </w:p>
          <w:p>
            <w:pPr>
              <w:ind w:firstLine="420" w:firstLineChars="200"/>
              <w:rPr>
                <w:rFonts w:hint="eastAsia" w:ascii="宋体" w:hAnsi="宋体"/>
                <w:szCs w:val="21"/>
              </w:rPr>
            </w:pPr>
            <w:r>
              <w:rPr>
                <w:rFonts w:hint="eastAsia" w:ascii="宋体" w:hAnsi="宋体"/>
                <w:color w:val="000000"/>
              </w:rPr>
              <w:t>当所有投标价都高于招标人投标控制价上限时，招标人将重新招标。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97" w:hRule="atLeast"/>
          <w:jc w:val="center"/>
        </w:trPr>
        <w:tc>
          <w:tcPr>
            <w:tcW w:w="891" w:type="dxa"/>
            <w:vAlign w:val="center"/>
          </w:tcPr>
          <w:p>
            <w:pPr>
              <w:adjustRightInd w:val="0"/>
              <w:snapToGrid w:val="0"/>
              <w:spacing w:line="300" w:lineRule="exact"/>
              <w:jc w:val="center"/>
              <w:rPr>
                <w:rFonts w:hint="eastAsia" w:ascii="宋体" w:hAnsi="宋体"/>
                <w:szCs w:val="21"/>
              </w:rPr>
            </w:pPr>
            <w:r>
              <w:rPr>
                <w:rFonts w:hint="eastAsia" w:ascii="宋体" w:hAnsi="宋体"/>
                <w:szCs w:val="21"/>
              </w:rPr>
              <w:t>2.2.3</w:t>
            </w:r>
          </w:p>
        </w:tc>
        <w:tc>
          <w:tcPr>
            <w:tcW w:w="1418" w:type="dxa"/>
            <w:vAlign w:val="center"/>
          </w:tcPr>
          <w:p>
            <w:pPr>
              <w:adjustRightInd w:val="0"/>
              <w:snapToGrid w:val="0"/>
              <w:spacing w:line="300" w:lineRule="exact"/>
              <w:jc w:val="center"/>
              <w:rPr>
                <w:rFonts w:hint="eastAsia" w:ascii="宋体" w:hAnsi="宋体"/>
                <w:szCs w:val="21"/>
              </w:rPr>
            </w:pPr>
            <w:r>
              <w:rPr>
                <w:rFonts w:hint="eastAsia" w:ascii="宋体" w:hAnsi="宋体"/>
                <w:szCs w:val="21"/>
              </w:rPr>
              <w:t>评标价的偏差率计算公式</w:t>
            </w:r>
          </w:p>
        </w:tc>
        <w:tc>
          <w:tcPr>
            <w:tcW w:w="7522" w:type="dxa"/>
            <w:vAlign w:val="center"/>
          </w:tcPr>
          <w:p>
            <w:pPr>
              <w:ind w:firstLine="420" w:firstLineChars="200"/>
              <w:rPr>
                <w:rFonts w:ascii="宋体" w:hAnsi="宋体"/>
                <w:szCs w:val="21"/>
              </w:rPr>
            </w:pPr>
            <w:r>
              <w:rPr>
                <w:rFonts w:hint="eastAsia" w:ascii="宋体" w:hAnsi="宋体"/>
                <w:szCs w:val="21"/>
              </w:rPr>
              <w:t>偏差率=100%×(投标人评标价-评标基准价)/评标基准价</w:t>
            </w:r>
          </w:p>
          <w:p>
            <w:pPr>
              <w:ind w:firstLine="420" w:firstLineChars="200"/>
              <w:rPr>
                <w:rFonts w:hint="eastAsia" w:ascii="宋体" w:hAnsi="宋体"/>
                <w:szCs w:val="21"/>
              </w:rPr>
            </w:pPr>
            <w:r>
              <w:rPr>
                <w:rFonts w:hint="eastAsia" w:ascii="宋体" w:hAnsi="宋体"/>
                <w:szCs w:val="21"/>
              </w:rPr>
              <w:t>偏差率保留2位小数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2" w:hRule="atLeast"/>
          <w:jc w:val="center"/>
        </w:trPr>
        <w:tc>
          <w:tcPr>
            <w:tcW w:w="891" w:type="dxa"/>
            <w:vAlign w:val="center"/>
          </w:tcPr>
          <w:p>
            <w:pPr>
              <w:adjustRightInd w:val="0"/>
              <w:snapToGrid w:val="0"/>
              <w:spacing w:line="300" w:lineRule="exact"/>
              <w:jc w:val="center"/>
              <w:rPr>
                <w:rFonts w:hint="eastAsia" w:ascii="宋体" w:hAnsi="宋体"/>
                <w:szCs w:val="21"/>
              </w:rPr>
            </w:pPr>
            <w:r>
              <w:rPr>
                <w:rFonts w:hint="eastAsia" w:ascii="宋体" w:hAnsi="宋体"/>
                <w:szCs w:val="21"/>
              </w:rPr>
              <w:t>2.2.4</w:t>
            </w:r>
          </w:p>
        </w:tc>
        <w:tc>
          <w:tcPr>
            <w:tcW w:w="1418" w:type="dxa"/>
            <w:vAlign w:val="center"/>
          </w:tcPr>
          <w:p>
            <w:pPr>
              <w:adjustRightInd w:val="0"/>
              <w:snapToGrid w:val="0"/>
              <w:spacing w:line="300" w:lineRule="exact"/>
              <w:jc w:val="center"/>
              <w:rPr>
                <w:rFonts w:hint="eastAsia" w:ascii="宋体" w:hAnsi="宋体"/>
                <w:szCs w:val="21"/>
              </w:rPr>
            </w:pPr>
            <w:r>
              <w:rPr>
                <w:rFonts w:hint="eastAsia" w:ascii="宋体" w:hAnsi="宋体"/>
              </w:rPr>
              <w:t>评分标准</w:t>
            </w:r>
          </w:p>
        </w:tc>
        <w:tc>
          <w:tcPr>
            <w:tcW w:w="7522" w:type="dxa"/>
            <w:vAlign w:val="center"/>
          </w:tcPr>
          <w:p>
            <w:pPr>
              <w:ind w:firstLine="420" w:firstLineChars="200"/>
              <w:rPr>
                <w:rFonts w:hint="eastAsia" w:ascii="宋体" w:hAnsi="宋体"/>
                <w:szCs w:val="21"/>
              </w:rPr>
            </w:pPr>
            <w:r>
              <w:rPr>
                <w:rFonts w:hint="eastAsia" w:ascii="宋体" w:hAnsi="宋体"/>
              </w:rPr>
              <w:t>详见评分标准表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46" w:hRule="atLeast"/>
          <w:jc w:val="center"/>
        </w:trPr>
        <w:tc>
          <w:tcPr>
            <w:tcW w:w="891" w:type="dxa"/>
            <w:vAlign w:val="center"/>
          </w:tcPr>
          <w:p>
            <w:pPr>
              <w:adjustRightInd w:val="0"/>
              <w:snapToGrid w:val="0"/>
              <w:spacing w:line="300" w:lineRule="exact"/>
              <w:jc w:val="center"/>
              <w:rPr>
                <w:rFonts w:hint="eastAsia" w:ascii="宋体" w:hAnsi="宋体"/>
                <w:szCs w:val="21"/>
              </w:rPr>
            </w:pPr>
            <w:r>
              <w:rPr>
                <w:rFonts w:hint="eastAsia" w:ascii="宋体" w:hAnsi="宋体"/>
                <w:szCs w:val="21"/>
              </w:rPr>
              <w:t>3</w:t>
            </w:r>
            <w:r>
              <w:rPr>
                <w:rFonts w:ascii="宋体" w:hAnsi="宋体"/>
                <w:szCs w:val="21"/>
              </w:rPr>
              <w:t>.6.1</w:t>
            </w:r>
          </w:p>
        </w:tc>
        <w:tc>
          <w:tcPr>
            <w:tcW w:w="1418" w:type="dxa"/>
            <w:vAlign w:val="center"/>
          </w:tcPr>
          <w:p>
            <w:pPr>
              <w:adjustRightInd w:val="0"/>
              <w:snapToGrid w:val="0"/>
              <w:spacing w:line="300" w:lineRule="exact"/>
              <w:jc w:val="center"/>
              <w:rPr>
                <w:rFonts w:hint="eastAsia" w:ascii="宋体" w:hAnsi="宋体"/>
                <w:szCs w:val="21"/>
              </w:rPr>
            </w:pPr>
            <w:r>
              <w:rPr>
                <w:rFonts w:hint="eastAsia" w:ascii="宋体" w:hAnsi="宋体"/>
                <w:szCs w:val="21"/>
              </w:rPr>
              <w:t>投标文件相关信息核查</w:t>
            </w:r>
          </w:p>
        </w:tc>
        <w:tc>
          <w:tcPr>
            <w:tcW w:w="7522" w:type="dxa"/>
            <w:vAlign w:val="center"/>
          </w:tcPr>
          <w:p>
            <w:pPr>
              <w:adjustRightInd w:val="0"/>
              <w:snapToGrid w:val="0"/>
              <w:spacing w:line="300" w:lineRule="exact"/>
              <w:rPr>
                <w:rFonts w:ascii="宋体" w:hAnsi="宋体"/>
              </w:rPr>
            </w:pPr>
            <w:r>
              <w:rPr>
                <w:rFonts w:hint="eastAsia" w:ascii="宋体" w:hAnsi="宋体"/>
              </w:rPr>
              <w:t>在评标过程中，评标委员会应对以下信息进行查询：</w:t>
            </w:r>
          </w:p>
          <w:p>
            <w:pPr>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）评标委员会评标时在“国家企业信用信息公示系统（http://www.gsxt.gov.cn/)”对投标人的信用情况进行查询，若投标人存在被列入“严重违法失信企业名单”情形的（不含分公司），评标委员会应否决其投标。</w:t>
            </w:r>
          </w:p>
          <w:p>
            <w:pPr>
              <w:spacing w:line="360" w:lineRule="exact"/>
              <w:ind w:firstLine="420" w:firstLineChars="200"/>
              <w:rPr>
                <w:rFonts w:hint="eastAsia" w:ascii="宋体" w:hAnsi="宋体"/>
              </w:rPr>
            </w:pPr>
            <w:r>
              <w:rPr>
                <w:rFonts w:hint="eastAsia" w:ascii="宋体" w:hAnsi="宋体"/>
                <w:szCs w:val="21"/>
              </w:rPr>
              <w:t>（</w:t>
            </w:r>
            <w:r>
              <w:rPr>
                <w:rFonts w:ascii="宋体" w:hAnsi="宋体"/>
                <w:szCs w:val="21"/>
              </w:rPr>
              <w:t>2</w:t>
            </w:r>
            <w:r>
              <w:rPr>
                <w:rFonts w:hint="eastAsia" w:ascii="宋体" w:hAnsi="宋体"/>
                <w:szCs w:val="21"/>
              </w:rPr>
              <w:t>）评标委员会评标时在“信用中国网站（http://www.creditchina.gov.cn/)”对投标人的信用情况进行查询，若投标人存在被列入“失信被执行人名单、企业经营异常情况名录、重大税收违法案件当事人名单、政府采购严重违法失信名单”情形的（均不含分公司），评标委员会应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78" w:hRule="atLeast"/>
          <w:jc w:val="center"/>
        </w:trPr>
        <w:tc>
          <w:tcPr>
            <w:tcW w:w="891" w:type="dxa"/>
            <w:vAlign w:val="center"/>
          </w:tcPr>
          <w:p>
            <w:pPr>
              <w:adjustRightInd w:val="0"/>
              <w:snapToGrid w:val="0"/>
              <w:spacing w:line="300" w:lineRule="exact"/>
              <w:jc w:val="center"/>
              <w:rPr>
                <w:rFonts w:hint="eastAsia" w:ascii="宋体" w:hAnsi="宋体"/>
                <w:szCs w:val="21"/>
              </w:rPr>
            </w:pPr>
            <w:r>
              <w:rPr>
                <w:rFonts w:hint="eastAsia" w:ascii="宋体" w:hAnsi="宋体"/>
                <w:szCs w:val="21"/>
              </w:rPr>
              <w:t>3.</w:t>
            </w:r>
            <w:r>
              <w:rPr>
                <w:rFonts w:ascii="宋体" w:hAnsi="宋体"/>
                <w:szCs w:val="21"/>
              </w:rPr>
              <w:t>9</w:t>
            </w:r>
            <w:r>
              <w:rPr>
                <w:rFonts w:hint="eastAsia" w:ascii="宋体" w:hAnsi="宋体"/>
                <w:szCs w:val="21"/>
              </w:rPr>
              <w:t>.1</w:t>
            </w:r>
          </w:p>
        </w:tc>
        <w:tc>
          <w:tcPr>
            <w:tcW w:w="1418" w:type="dxa"/>
            <w:vAlign w:val="center"/>
          </w:tcPr>
          <w:p>
            <w:pPr>
              <w:adjustRightInd w:val="0"/>
              <w:snapToGrid w:val="0"/>
              <w:spacing w:line="300" w:lineRule="exact"/>
              <w:jc w:val="center"/>
              <w:rPr>
                <w:rFonts w:hint="eastAsia" w:ascii="宋体" w:hAnsi="宋体"/>
                <w:szCs w:val="21"/>
              </w:rPr>
            </w:pPr>
            <w:r>
              <w:rPr>
                <w:rFonts w:hint="eastAsia" w:ascii="宋体" w:hAnsi="宋体"/>
                <w:szCs w:val="21"/>
              </w:rPr>
              <w:t>评标</w:t>
            </w:r>
          </w:p>
          <w:p>
            <w:pPr>
              <w:adjustRightInd w:val="0"/>
              <w:snapToGrid w:val="0"/>
              <w:spacing w:line="300" w:lineRule="exact"/>
              <w:jc w:val="center"/>
              <w:rPr>
                <w:rFonts w:hint="eastAsia" w:ascii="宋体" w:hAnsi="宋体"/>
                <w:szCs w:val="21"/>
              </w:rPr>
            </w:pPr>
            <w:r>
              <w:rPr>
                <w:rFonts w:hint="eastAsia" w:ascii="宋体" w:hAnsi="宋体"/>
                <w:szCs w:val="21"/>
              </w:rPr>
              <w:t>结果</w:t>
            </w:r>
          </w:p>
        </w:tc>
        <w:tc>
          <w:tcPr>
            <w:tcW w:w="7522" w:type="dxa"/>
            <w:vAlign w:val="center"/>
          </w:tcPr>
          <w:p>
            <w:pPr>
              <w:adjustRightInd w:val="0"/>
              <w:snapToGrid w:val="0"/>
              <w:spacing w:line="300" w:lineRule="exact"/>
              <w:rPr>
                <w:rFonts w:hint="eastAsia" w:ascii="宋体" w:hAnsi="宋体"/>
              </w:rPr>
            </w:pPr>
            <w:r>
              <w:rPr>
                <w:rFonts w:hint="eastAsia" w:ascii="宋体" w:hAnsi="宋体"/>
              </w:rPr>
              <w:t>3</w:t>
            </w:r>
            <w:r>
              <w:rPr>
                <w:rFonts w:ascii="宋体" w:hAnsi="宋体"/>
              </w:rPr>
              <w:t>.8.1</w:t>
            </w:r>
            <w:r>
              <w:rPr>
                <w:rFonts w:hint="eastAsia" w:ascii="宋体" w:hAnsi="宋体"/>
              </w:rPr>
              <w:t>除第二章“投标人须知”前附表授权直接确定中标人外，评标委员会按照评标办法前附表“1.评标办法”的规定推荐中标候选人。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444" w:hRule="atLeast"/>
          <w:jc w:val="center"/>
        </w:trPr>
        <w:tc>
          <w:tcPr>
            <w:tcW w:w="9831" w:type="dxa"/>
            <w:gridSpan w:val="3"/>
            <w:tcBorders>
              <w:top w:val="single" w:color="auto" w:sz="8" w:space="0"/>
              <w:left w:val="single" w:color="auto" w:sz="8" w:space="0"/>
              <w:bottom w:val="single" w:color="auto" w:sz="8" w:space="0"/>
              <w:right w:val="single" w:color="auto" w:sz="8" w:space="0"/>
            </w:tcBorders>
            <w:vAlign w:val="center"/>
          </w:tcPr>
          <w:p>
            <w:pPr>
              <w:adjustRightInd w:val="0"/>
              <w:snapToGrid w:val="0"/>
              <w:spacing w:line="260" w:lineRule="exact"/>
              <w:rPr>
                <w:rFonts w:ascii="宋体" w:hAnsi="宋体"/>
                <w:b/>
                <w:szCs w:val="21"/>
              </w:rPr>
            </w:pPr>
            <w:r>
              <w:rPr>
                <w:rFonts w:hint="eastAsia" w:ascii="宋体" w:hAnsi="宋体"/>
                <w:b/>
                <w:szCs w:val="21"/>
              </w:rPr>
              <w:t>需要补充的其他内容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444" w:hRule="atLeast"/>
          <w:jc w:val="center"/>
        </w:trPr>
        <w:tc>
          <w:tcPr>
            <w:tcW w:w="9831" w:type="dxa"/>
            <w:gridSpan w:val="3"/>
            <w:tcBorders>
              <w:top w:val="single" w:color="auto" w:sz="8" w:space="0"/>
              <w:left w:val="single" w:color="auto" w:sz="8" w:space="0"/>
              <w:bottom w:val="single" w:color="auto" w:sz="8" w:space="0"/>
              <w:right w:val="single" w:color="auto" w:sz="8" w:space="0"/>
            </w:tcBorders>
            <w:vAlign w:val="center"/>
          </w:tcPr>
          <w:p>
            <w:pPr>
              <w:adjustRightInd w:val="0"/>
              <w:snapToGrid w:val="0"/>
              <w:spacing w:line="260" w:lineRule="exact"/>
              <w:rPr>
                <w:rFonts w:hint="eastAsia" w:ascii="宋体" w:hAnsi="宋体"/>
                <w:b/>
                <w:szCs w:val="21"/>
              </w:rPr>
            </w:pPr>
            <w:r>
              <w:rPr>
                <w:rFonts w:hint="eastAsia" w:ascii="宋体" w:hAnsi="宋体"/>
                <w:b/>
                <w:szCs w:val="21"/>
              </w:rPr>
              <w:t>无</w:t>
            </w:r>
          </w:p>
        </w:tc>
      </w:tr>
      <w:bookmarkEnd w:id="11"/>
    </w:tbl>
    <w:p>
      <w:pPr>
        <w:jc w:val="center"/>
        <w:rPr>
          <w:rFonts w:hint="eastAsia" w:ascii="宋体" w:hAnsi="宋体"/>
        </w:rPr>
      </w:pPr>
      <w:r>
        <w:rPr>
          <w:rFonts w:ascii="宋体" w:hAnsi="宋体"/>
        </w:rPr>
        <w:br w:type="page"/>
      </w:r>
      <w:bookmarkEnd w:id="0"/>
      <w:r>
        <w:rPr>
          <w:rFonts w:hint="eastAsia" w:ascii="宋体" w:hAnsi="宋体"/>
          <w:b/>
          <w:sz w:val="24"/>
        </w:rPr>
        <w:t>评分因素与权重分值</w:t>
      </w:r>
    </w:p>
    <w:tbl>
      <w:tblPr>
        <w:tblStyle w:val="2"/>
        <w:tblW w:w="9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1098"/>
        <w:gridCol w:w="1418"/>
        <w:gridCol w:w="709"/>
        <w:gridCol w:w="5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blHeader/>
          <w:jc w:val="center"/>
        </w:trPr>
        <w:tc>
          <w:tcPr>
            <w:tcW w:w="9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条款号</w:t>
            </w:r>
          </w:p>
        </w:tc>
        <w:tc>
          <w:tcPr>
            <w:tcW w:w="109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pacing w:val="-6"/>
                <w:szCs w:val="21"/>
              </w:rPr>
            </w:pPr>
            <w:r>
              <w:rPr>
                <w:rFonts w:hint="eastAsia" w:ascii="宋体" w:hAnsi="宋体"/>
                <w:spacing w:val="-6"/>
                <w:szCs w:val="21"/>
              </w:rPr>
              <w:t>评分因素及分值</w:t>
            </w:r>
          </w:p>
        </w:tc>
        <w:tc>
          <w:tcPr>
            <w:tcW w:w="212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pacing w:val="-6"/>
                <w:szCs w:val="21"/>
              </w:rPr>
            </w:pPr>
            <w:r>
              <w:rPr>
                <w:rFonts w:hint="eastAsia" w:ascii="宋体" w:hAnsi="宋体"/>
                <w:spacing w:val="-6"/>
                <w:szCs w:val="21"/>
              </w:rPr>
              <w:t>各评分因素细分项</w:t>
            </w:r>
          </w:p>
        </w:tc>
        <w:tc>
          <w:tcPr>
            <w:tcW w:w="56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pacing w:val="-6"/>
                <w:szCs w:val="21"/>
              </w:rPr>
            </w:pPr>
            <w:r>
              <w:rPr>
                <w:rFonts w:hint="eastAsia" w:ascii="宋体" w:hAnsi="宋体"/>
                <w:spacing w:val="-6"/>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10"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pacing w:val="-6"/>
                <w:szCs w:val="21"/>
              </w:rPr>
            </w:pPr>
            <w:r>
              <w:rPr>
                <w:rFonts w:hint="eastAsia" w:ascii="宋体" w:hAnsi="宋体"/>
                <w:szCs w:val="21"/>
              </w:rPr>
              <w:t>满分100分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exact"/>
          <w:jc w:val="center"/>
        </w:trPr>
        <w:tc>
          <w:tcPr>
            <w:tcW w:w="99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pacing w:val="-6"/>
                <w:szCs w:val="21"/>
              </w:rPr>
              <w:t>2.2.2（1）</w:t>
            </w:r>
          </w:p>
        </w:tc>
        <w:tc>
          <w:tcPr>
            <w:tcW w:w="1098"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pacing w:val="-6"/>
                <w:szCs w:val="21"/>
              </w:rPr>
            </w:pPr>
            <w:r>
              <w:rPr>
                <w:rFonts w:hint="eastAsia" w:ascii="宋体" w:hAnsi="宋体"/>
                <w:szCs w:val="21"/>
              </w:rPr>
              <w:t>服务方案（</w:t>
            </w:r>
            <w:r>
              <w:rPr>
                <w:rFonts w:ascii="宋体" w:hAnsi="宋体"/>
                <w:szCs w:val="21"/>
              </w:rPr>
              <w:t>5</w:t>
            </w:r>
            <w:r>
              <w:rPr>
                <w:rFonts w:hint="eastAsia" w:ascii="宋体" w:hAnsi="宋体"/>
                <w:szCs w:val="21"/>
              </w:rPr>
              <w:t>0分）</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pacing w:val="-6"/>
                <w:szCs w:val="21"/>
              </w:rPr>
            </w:pPr>
            <w:r>
              <w:rPr>
                <w:rFonts w:hint="eastAsia" w:ascii="宋体" w:hAnsi="宋体" w:cs="宋体"/>
                <w:bCs/>
                <w:szCs w:val="21"/>
              </w:rPr>
              <w:t>实施计划及服务方案</w:t>
            </w: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pacing w:val="-6"/>
                <w:szCs w:val="21"/>
              </w:rPr>
            </w:pPr>
            <w:r>
              <w:rPr>
                <w:rFonts w:ascii="宋体" w:hAnsi="宋体" w:cs="宋体"/>
                <w:bCs/>
                <w:szCs w:val="21"/>
              </w:rPr>
              <w:t>15</w:t>
            </w:r>
            <w:r>
              <w:rPr>
                <w:rFonts w:hint="eastAsia" w:ascii="宋体" w:hAnsi="宋体" w:cs="宋体"/>
                <w:bCs/>
                <w:szCs w:val="21"/>
              </w:rPr>
              <w:t>分</w:t>
            </w:r>
          </w:p>
        </w:tc>
        <w:tc>
          <w:tcPr>
            <w:tcW w:w="5690"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bCs/>
                <w:szCs w:val="21"/>
              </w:rPr>
            </w:pPr>
            <w:r>
              <w:rPr>
                <w:rFonts w:hint="eastAsia" w:ascii="宋体" w:hAnsi="宋体" w:cs="宋体"/>
                <w:bCs/>
                <w:szCs w:val="21"/>
              </w:rPr>
              <w:t>实施计划科学合理，总体方案完整、内容齐全，有针对性，得</w:t>
            </w:r>
            <w:r>
              <w:rPr>
                <w:rFonts w:ascii="宋体" w:hAnsi="宋体" w:cs="宋体"/>
                <w:bCs/>
                <w:szCs w:val="21"/>
              </w:rPr>
              <w:t>12-15</w:t>
            </w:r>
            <w:r>
              <w:rPr>
                <w:rFonts w:hint="eastAsia" w:ascii="宋体" w:hAnsi="宋体" w:cs="宋体"/>
                <w:bCs/>
                <w:szCs w:val="21"/>
              </w:rPr>
              <w:t>分；</w:t>
            </w:r>
          </w:p>
          <w:p>
            <w:pPr>
              <w:snapToGrid w:val="0"/>
              <w:rPr>
                <w:rFonts w:hint="eastAsia" w:ascii="宋体" w:hAnsi="宋体" w:cs="宋体"/>
                <w:bCs/>
                <w:szCs w:val="21"/>
              </w:rPr>
            </w:pPr>
            <w:r>
              <w:rPr>
                <w:rFonts w:hint="eastAsia" w:ascii="宋体" w:hAnsi="宋体" w:cs="宋体"/>
                <w:bCs/>
                <w:szCs w:val="21"/>
              </w:rPr>
              <w:t>实施计划较科学合理，总体方案较完整，得</w:t>
            </w:r>
            <w:r>
              <w:rPr>
                <w:rFonts w:ascii="宋体" w:hAnsi="宋体" w:cs="宋体"/>
                <w:bCs/>
                <w:szCs w:val="21"/>
              </w:rPr>
              <w:t>9</w:t>
            </w:r>
            <w:r>
              <w:rPr>
                <w:rFonts w:hint="eastAsia" w:ascii="宋体" w:hAnsi="宋体" w:cs="宋体"/>
                <w:bCs/>
                <w:szCs w:val="21"/>
              </w:rPr>
              <w:t>-</w:t>
            </w:r>
            <w:r>
              <w:rPr>
                <w:rFonts w:ascii="宋体" w:hAnsi="宋体" w:cs="宋体"/>
                <w:bCs/>
                <w:szCs w:val="21"/>
              </w:rPr>
              <w:t>12</w:t>
            </w:r>
            <w:r>
              <w:rPr>
                <w:rFonts w:hint="eastAsia" w:ascii="宋体" w:hAnsi="宋体" w:cs="宋体"/>
                <w:bCs/>
                <w:szCs w:val="21"/>
              </w:rPr>
              <w:t>分；</w:t>
            </w:r>
          </w:p>
          <w:p>
            <w:pPr>
              <w:snapToGrid w:val="0"/>
              <w:jc w:val="left"/>
              <w:rPr>
                <w:rFonts w:hint="eastAsia" w:ascii="宋体" w:hAnsi="宋体"/>
                <w:spacing w:val="-6"/>
                <w:szCs w:val="21"/>
              </w:rPr>
            </w:pPr>
            <w:r>
              <w:rPr>
                <w:rFonts w:hint="eastAsia" w:ascii="宋体" w:hAnsi="宋体" w:cs="宋体"/>
                <w:bCs/>
                <w:szCs w:val="21"/>
              </w:rPr>
              <w:t>实施计划欠合理，总体方案过于简单，得1-</w:t>
            </w:r>
            <w:r>
              <w:rPr>
                <w:rFonts w:ascii="宋体" w:hAnsi="宋体" w:cs="宋体"/>
                <w:bCs/>
                <w:szCs w:val="21"/>
              </w:rPr>
              <w:t>9</w:t>
            </w:r>
            <w:r>
              <w:rPr>
                <w:rFonts w:hint="eastAsia" w:ascii="宋体" w:hAnsi="宋体" w:cs="宋体"/>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exact"/>
          <w:jc w:val="center"/>
        </w:trPr>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0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pacing w:val="-6"/>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pacing w:val="-6"/>
                <w:szCs w:val="21"/>
              </w:rPr>
            </w:pPr>
            <w:bookmarkStart w:id="19" w:name="_Hlk66996149"/>
            <w:r>
              <w:rPr>
                <w:rFonts w:hint="eastAsia" w:ascii="宋体" w:hAnsi="宋体" w:cs="宋体"/>
                <w:bCs/>
                <w:szCs w:val="21"/>
              </w:rPr>
              <w:t>维修保养管理标准及措施</w:t>
            </w:r>
            <w:bookmarkEnd w:id="19"/>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pacing w:val="-6"/>
                <w:szCs w:val="21"/>
              </w:rPr>
            </w:pPr>
            <w:r>
              <w:rPr>
                <w:rFonts w:hint="eastAsia" w:ascii="宋体" w:hAnsi="宋体" w:cs="宋体"/>
                <w:bCs/>
                <w:szCs w:val="21"/>
              </w:rPr>
              <w:t>1</w:t>
            </w:r>
            <w:r>
              <w:rPr>
                <w:rFonts w:ascii="宋体" w:hAnsi="宋体" w:cs="宋体"/>
                <w:bCs/>
                <w:szCs w:val="21"/>
              </w:rPr>
              <w:t>5</w:t>
            </w:r>
            <w:r>
              <w:rPr>
                <w:rFonts w:hint="eastAsia" w:ascii="宋体" w:hAnsi="宋体" w:cs="宋体"/>
                <w:bCs/>
                <w:szCs w:val="21"/>
              </w:rPr>
              <w:t>分</w:t>
            </w:r>
          </w:p>
        </w:tc>
        <w:tc>
          <w:tcPr>
            <w:tcW w:w="5690"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bCs/>
                <w:szCs w:val="21"/>
              </w:rPr>
            </w:pPr>
            <w:r>
              <w:rPr>
                <w:rFonts w:hint="eastAsia" w:ascii="宋体" w:hAnsi="宋体" w:cs="宋体"/>
                <w:bCs/>
                <w:szCs w:val="21"/>
              </w:rPr>
              <w:t>科学合理，内容详细，得</w:t>
            </w:r>
            <w:r>
              <w:rPr>
                <w:rFonts w:ascii="宋体" w:hAnsi="宋体" w:cs="宋体"/>
                <w:bCs/>
                <w:szCs w:val="21"/>
              </w:rPr>
              <w:t>12-15</w:t>
            </w:r>
            <w:r>
              <w:rPr>
                <w:rFonts w:hint="eastAsia" w:ascii="宋体" w:hAnsi="宋体" w:cs="宋体"/>
                <w:bCs/>
                <w:szCs w:val="21"/>
              </w:rPr>
              <w:t>分；</w:t>
            </w:r>
          </w:p>
          <w:p>
            <w:pPr>
              <w:snapToGrid w:val="0"/>
              <w:rPr>
                <w:rFonts w:hint="eastAsia" w:ascii="宋体" w:hAnsi="宋体" w:cs="宋体"/>
                <w:bCs/>
                <w:szCs w:val="21"/>
              </w:rPr>
            </w:pPr>
            <w:r>
              <w:rPr>
                <w:rFonts w:hint="eastAsia" w:ascii="宋体" w:hAnsi="宋体" w:cs="宋体"/>
                <w:bCs/>
                <w:szCs w:val="21"/>
              </w:rPr>
              <w:t>较科学合理，内容较详细，得</w:t>
            </w:r>
            <w:r>
              <w:rPr>
                <w:rFonts w:ascii="宋体" w:hAnsi="宋体" w:cs="宋体"/>
                <w:bCs/>
                <w:szCs w:val="21"/>
              </w:rPr>
              <w:t>9-12</w:t>
            </w:r>
            <w:r>
              <w:rPr>
                <w:rFonts w:hint="eastAsia" w:ascii="宋体" w:hAnsi="宋体" w:cs="宋体"/>
                <w:bCs/>
                <w:szCs w:val="21"/>
              </w:rPr>
              <w:t>分；</w:t>
            </w:r>
          </w:p>
          <w:p>
            <w:pPr>
              <w:snapToGrid w:val="0"/>
              <w:jc w:val="left"/>
              <w:rPr>
                <w:rFonts w:hint="eastAsia" w:ascii="宋体" w:hAnsi="宋体"/>
                <w:spacing w:val="-6"/>
                <w:szCs w:val="21"/>
              </w:rPr>
            </w:pPr>
            <w:r>
              <w:rPr>
                <w:rFonts w:hint="eastAsia" w:ascii="宋体" w:hAnsi="宋体" w:cs="宋体"/>
                <w:bCs/>
                <w:szCs w:val="21"/>
              </w:rPr>
              <w:t>欠合理，内容过于简单，得</w:t>
            </w:r>
            <w:r>
              <w:rPr>
                <w:rFonts w:ascii="宋体" w:hAnsi="宋体" w:cs="宋体"/>
                <w:bCs/>
                <w:szCs w:val="21"/>
              </w:rPr>
              <w:t>1-9</w:t>
            </w:r>
            <w:r>
              <w:rPr>
                <w:rFonts w:hint="eastAsia" w:ascii="宋体" w:hAnsi="宋体" w:cs="宋体"/>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exact"/>
          <w:jc w:val="center"/>
        </w:trPr>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0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pacing w:val="-6"/>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pacing w:val="-6"/>
                <w:szCs w:val="21"/>
              </w:rPr>
            </w:pPr>
            <w:r>
              <w:rPr>
                <w:rFonts w:hint="eastAsia" w:ascii="宋体" w:hAnsi="宋体" w:cs="宋体"/>
                <w:bCs/>
                <w:szCs w:val="21"/>
              </w:rPr>
              <w:t>内部规章制度及人员考核培训方案</w:t>
            </w: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pacing w:val="-6"/>
                <w:szCs w:val="21"/>
              </w:rPr>
            </w:pPr>
            <w:r>
              <w:rPr>
                <w:rFonts w:hint="eastAsia" w:ascii="宋体" w:hAnsi="宋体" w:cs="宋体"/>
                <w:bCs/>
                <w:szCs w:val="21"/>
              </w:rPr>
              <w:t>10分</w:t>
            </w:r>
          </w:p>
        </w:tc>
        <w:tc>
          <w:tcPr>
            <w:tcW w:w="569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Cs/>
                <w:szCs w:val="21"/>
              </w:rPr>
            </w:pPr>
            <w:r>
              <w:rPr>
                <w:rFonts w:hint="eastAsia" w:ascii="宋体" w:hAnsi="宋体" w:cs="宋体"/>
                <w:bCs/>
                <w:szCs w:val="21"/>
              </w:rPr>
              <w:t>科学合理、完善可行、有针对性，得</w:t>
            </w:r>
            <w:r>
              <w:rPr>
                <w:rFonts w:ascii="宋体" w:hAnsi="宋体" w:cs="宋体"/>
                <w:bCs/>
                <w:szCs w:val="21"/>
              </w:rPr>
              <w:t>8-10</w:t>
            </w:r>
            <w:r>
              <w:rPr>
                <w:rFonts w:hint="eastAsia" w:ascii="宋体" w:hAnsi="宋体" w:cs="宋体"/>
                <w:bCs/>
                <w:szCs w:val="21"/>
              </w:rPr>
              <w:t>分；</w:t>
            </w:r>
          </w:p>
          <w:p>
            <w:pPr>
              <w:snapToGrid w:val="0"/>
              <w:rPr>
                <w:rFonts w:hint="eastAsia" w:ascii="宋体" w:hAnsi="宋体" w:cs="宋体"/>
                <w:bCs/>
                <w:szCs w:val="21"/>
              </w:rPr>
            </w:pPr>
            <w:r>
              <w:rPr>
                <w:rFonts w:hint="eastAsia" w:ascii="宋体" w:hAnsi="宋体" w:cs="宋体"/>
                <w:bCs/>
                <w:szCs w:val="21"/>
              </w:rPr>
              <w:t>较科学、较完善可行、较有针对性，得</w:t>
            </w:r>
            <w:r>
              <w:rPr>
                <w:rFonts w:ascii="宋体" w:hAnsi="宋体" w:cs="宋体"/>
                <w:bCs/>
                <w:szCs w:val="21"/>
              </w:rPr>
              <w:t>6-8</w:t>
            </w:r>
            <w:r>
              <w:rPr>
                <w:rFonts w:hint="eastAsia" w:ascii="宋体" w:hAnsi="宋体" w:cs="宋体"/>
                <w:bCs/>
                <w:szCs w:val="21"/>
              </w:rPr>
              <w:t>分；</w:t>
            </w:r>
          </w:p>
          <w:p>
            <w:pPr>
              <w:snapToGrid w:val="0"/>
              <w:jc w:val="left"/>
              <w:rPr>
                <w:rFonts w:hint="eastAsia" w:ascii="宋体" w:hAnsi="宋体"/>
                <w:spacing w:val="-6"/>
                <w:szCs w:val="21"/>
              </w:rPr>
            </w:pPr>
            <w:r>
              <w:rPr>
                <w:rFonts w:hint="eastAsia" w:ascii="宋体" w:hAnsi="宋体" w:cs="宋体"/>
                <w:bCs/>
                <w:szCs w:val="21"/>
              </w:rPr>
              <w:t>保证措施一般，得</w:t>
            </w:r>
            <w:r>
              <w:rPr>
                <w:rFonts w:ascii="宋体" w:hAnsi="宋体" w:cs="宋体"/>
                <w:bCs/>
                <w:szCs w:val="21"/>
              </w:rPr>
              <w:t>1-6</w:t>
            </w:r>
            <w:r>
              <w:rPr>
                <w:rFonts w:hint="eastAsia" w:ascii="宋体" w:hAnsi="宋体" w:cs="宋体"/>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exact"/>
          <w:jc w:val="center"/>
        </w:trPr>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0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pacing w:val="-6"/>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pacing w:val="-6"/>
                <w:szCs w:val="21"/>
              </w:rPr>
            </w:pPr>
            <w:r>
              <w:rPr>
                <w:rFonts w:hint="eastAsia" w:ascii="宋体" w:hAnsi="宋体" w:cs="宋体"/>
                <w:bCs/>
                <w:szCs w:val="21"/>
              </w:rPr>
              <w:t>服务承诺</w:t>
            </w: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pacing w:val="-6"/>
                <w:szCs w:val="21"/>
              </w:rPr>
            </w:pPr>
            <w:r>
              <w:rPr>
                <w:rFonts w:ascii="宋体" w:hAnsi="宋体" w:cs="宋体"/>
                <w:bCs/>
                <w:szCs w:val="21"/>
              </w:rPr>
              <w:t>10</w:t>
            </w:r>
            <w:r>
              <w:rPr>
                <w:rFonts w:hint="eastAsia" w:ascii="宋体" w:hAnsi="宋体" w:cs="宋体"/>
                <w:bCs/>
                <w:szCs w:val="21"/>
              </w:rPr>
              <w:t>分</w:t>
            </w:r>
          </w:p>
        </w:tc>
        <w:tc>
          <w:tcPr>
            <w:tcW w:w="5690"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bCs/>
                <w:szCs w:val="21"/>
              </w:rPr>
            </w:pPr>
            <w:r>
              <w:rPr>
                <w:rFonts w:hint="eastAsia" w:ascii="宋体" w:hAnsi="宋体" w:cs="宋体"/>
                <w:bCs/>
                <w:szCs w:val="21"/>
              </w:rPr>
              <w:t>服务承诺系统全面、科学合理，得8-10分；</w:t>
            </w:r>
          </w:p>
          <w:p>
            <w:pPr>
              <w:snapToGrid w:val="0"/>
              <w:rPr>
                <w:rFonts w:hint="eastAsia" w:ascii="宋体" w:hAnsi="宋体" w:cs="宋体"/>
                <w:bCs/>
                <w:szCs w:val="21"/>
              </w:rPr>
            </w:pPr>
            <w:r>
              <w:rPr>
                <w:rFonts w:hint="eastAsia" w:ascii="宋体" w:hAnsi="宋体" w:cs="宋体"/>
                <w:bCs/>
                <w:szCs w:val="21"/>
              </w:rPr>
              <w:t>服务承诺较完整、较科学，得6-8分；</w:t>
            </w:r>
          </w:p>
          <w:p>
            <w:pPr>
              <w:snapToGrid w:val="0"/>
              <w:jc w:val="left"/>
              <w:rPr>
                <w:rFonts w:hint="eastAsia" w:ascii="宋体" w:hAnsi="宋体"/>
                <w:spacing w:val="-6"/>
                <w:szCs w:val="21"/>
              </w:rPr>
            </w:pPr>
            <w:r>
              <w:rPr>
                <w:rFonts w:hint="eastAsia" w:ascii="宋体" w:hAnsi="宋体" w:cs="宋体"/>
                <w:bCs/>
                <w:szCs w:val="21"/>
              </w:rPr>
              <w:t>服务承诺不完整或不尽合理，得1-6分。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8" w:hRule="exact"/>
          <w:jc w:val="center"/>
        </w:trPr>
        <w:tc>
          <w:tcPr>
            <w:tcW w:w="9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pacing w:val="-6"/>
                <w:szCs w:val="21"/>
              </w:rPr>
            </w:pPr>
            <w:r>
              <w:rPr>
                <w:rFonts w:hint="eastAsia" w:ascii="宋体" w:hAnsi="宋体"/>
                <w:spacing w:val="-6"/>
                <w:szCs w:val="21"/>
              </w:rPr>
              <w:t>2.2.2（3）</w:t>
            </w:r>
          </w:p>
        </w:tc>
        <w:tc>
          <w:tcPr>
            <w:tcW w:w="1098" w:type="dxa"/>
            <w:tcBorders>
              <w:top w:val="single" w:color="auto" w:sz="4" w:space="0"/>
              <w:left w:val="single" w:color="auto" w:sz="4" w:space="0"/>
              <w:bottom w:val="single" w:color="auto" w:sz="4" w:space="0"/>
              <w:right w:val="single" w:color="auto" w:sz="4" w:space="0"/>
            </w:tcBorders>
            <w:vAlign w:val="center"/>
          </w:tcPr>
          <w:p>
            <w:pPr>
              <w:spacing w:beforeLines="50" w:afterLines="50"/>
              <w:ind w:right="113"/>
              <w:jc w:val="center"/>
              <w:rPr>
                <w:rFonts w:hint="eastAsia" w:ascii="宋体" w:hAnsi="宋体" w:cs="宋体"/>
                <w:spacing w:val="-6"/>
                <w:szCs w:val="21"/>
              </w:rPr>
            </w:pPr>
            <w:r>
              <w:rPr>
                <w:rFonts w:hint="eastAsia" w:ascii="宋体" w:hAnsi="宋体" w:cs="宋体"/>
                <w:spacing w:val="-6"/>
                <w:szCs w:val="21"/>
              </w:rPr>
              <w:t>评标价（1</w:t>
            </w:r>
            <w:r>
              <w:rPr>
                <w:rFonts w:ascii="宋体" w:hAnsi="宋体" w:cs="宋体"/>
                <w:spacing w:val="-6"/>
                <w:szCs w:val="21"/>
              </w:rPr>
              <w:t>0</w:t>
            </w:r>
            <w:r>
              <w:rPr>
                <w:rFonts w:hint="eastAsia" w:ascii="宋体" w:hAnsi="宋体" w:cs="宋体"/>
                <w:spacing w:val="-6"/>
                <w:szCs w:val="21"/>
              </w:rPr>
              <w:t>）</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Cs w:val="21"/>
              </w:rPr>
            </w:pPr>
            <w:r>
              <w:rPr>
                <w:rFonts w:hint="eastAsia" w:ascii="宋体" w:hAnsi="宋体"/>
                <w:szCs w:val="21"/>
              </w:rPr>
              <w:t>评标价</w:t>
            </w: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分</w:t>
            </w:r>
          </w:p>
        </w:tc>
        <w:tc>
          <w:tcPr>
            <w:tcW w:w="569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宋体" w:hAnsi="宋体"/>
                <w:szCs w:val="21"/>
              </w:rPr>
              <w:t>评标价得分计算公式示例：</w:t>
            </w:r>
          </w:p>
          <w:p>
            <w:pPr>
              <w:rPr>
                <w:rFonts w:hint="eastAsia" w:ascii="宋体" w:hAnsi="宋体"/>
                <w:szCs w:val="21"/>
              </w:rPr>
            </w:pPr>
            <w:r>
              <w:rPr>
                <w:rFonts w:hint="eastAsia" w:ascii="宋体" w:hAnsi="宋体"/>
                <w:szCs w:val="21"/>
              </w:rPr>
              <w:t>(1)如果投标人的评标价＞评标基准价，则评标价得分=10-偏差率×100×E</w:t>
            </w:r>
            <w:r>
              <w:rPr>
                <w:rFonts w:hint="eastAsia" w:ascii="宋体" w:hAnsi="宋体"/>
                <w:szCs w:val="21"/>
                <w:vertAlign w:val="subscript"/>
              </w:rPr>
              <w:t>1</w:t>
            </w:r>
            <w:r>
              <w:rPr>
                <w:rFonts w:hint="eastAsia" w:ascii="宋体" w:hAnsi="宋体"/>
                <w:szCs w:val="21"/>
              </w:rPr>
              <w:t>；</w:t>
            </w:r>
          </w:p>
          <w:p>
            <w:pPr>
              <w:rPr>
                <w:rFonts w:hint="eastAsia" w:ascii="宋体" w:hAnsi="宋体"/>
                <w:szCs w:val="21"/>
              </w:rPr>
            </w:pPr>
            <w:r>
              <w:rPr>
                <w:rFonts w:hint="eastAsia" w:ascii="宋体" w:hAnsi="宋体"/>
                <w:szCs w:val="21"/>
              </w:rPr>
              <w:t>(2)如果投标人的评标价≤评标基准价，则评标价得分=10+偏差率×100×E</w:t>
            </w:r>
            <w:r>
              <w:rPr>
                <w:rFonts w:hint="eastAsia" w:ascii="宋体" w:hAnsi="宋体"/>
                <w:szCs w:val="21"/>
                <w:vertAlign w:val="subscript"/>
              </w:rPr>
              <w:t>2</w:t>
            </w:r>
            <w:r>
              <w:rPr>
                <w:rFonts w:hint="eastAsia" w:ascii="宋体" w:hAnsi="宋体"/>
                <w:szCs w:val="21"/>
              </w:rPr>
              <w:t>；</w:t>
            </w:r>
          </w:p>
          <w:p>
            <w:pPr>
              <w:rPr>
                <w:rFonts w:hint="eastAsia" w:ascii="宋体" w:hAnsi="宋体"/>
                <w:szCs w:val="21"/>
              </w:rPr>
            </w:pPr>
            <w:r>
              <w:rPr>
                <w:rFonts w:hint="eastAsia" w:ascii="宋体" w:hAnsi="宋体"/>
                <w:szCs w:val="21"/>
              </w:rPr>
              <w:t>其中：</w:t>
            </w:r>
          </w:p>
          <w:p>
            <w:pPr>
              <w:rPr>
                <w:rFonts w:ascii="宋体" w:hAnsi="宋体"/>
                <w:szCs w:val="21"/>
              </w:rPr>
            </w:pPr>
            <w:r>
              <w:rPr>
                <w:rFonts w:hint="eastAsia" w:ascii="宋体" w:hAnsi="宋体"/>
                <w:szCs w:val="21"/>
              </w:rPr>
              <w:t>E</w:t>
            </w:r>
            <w:r>
              <w:rPr>
                <w:rFonts w:hint="eastAsia" w:ascii="宋体" w:hAnsi="宋体"/>
                <w:szCs w:val="21"/>
                <w:vertAlign w:val="subscript"/>
              </w:rPr>
              <w:t>1</w:t>
            </w:r>
            <w:r>
              <w:rPr>
                <w:rFonts w:hint="eastAsia" w:ascii="宋体" w:hAnsi="宋体"/>
                <w:szCs w:val="21"/>
              </w:rPr>
              <w:t>是评标价每高于评标基准价一个百分点的扣分值，E</w:t>
            </w:r>
            <w:r>
              <w:rPr>
                <w:rFonts w:hint="eastAsia" w:ascii="宋体" w:hAnsi="宋体"/>
                <w:szCs w:val="21"/>
                <w:vertAlign w:val="subscript"/>
              </w:rPr>
              <w:t>1</w:t>
            </w:r>
            <w:r>
              <w:rPr>
                <w:rFonts w:hint="eastAsia" w:ascii="宋体" w:hAnsi="宋体"/>
                <w:szCs w:val="21"/>
              </w:rPr>
              <w:t>=</w:t>
            </w:r>
            <w:r>
              <w:rPr>
                <w:rFonts w:ascii="宋体" w:hAnsi="宋体"/>
                <w:szCs w:val="21"/>
              </w:rPr>
              <w:t>0.</w:t>
            </w:r>
            <w:r>
              <w:rPr>
                <w:rFonts w:hint="eastAsia" w:ascii="宋体" w:hAnsi="宋体"/>
                <w:szCs w:val="21"/>
              </w:rPr>
              <w:t>2；</w:t>
            </w:r>
          </w:p>
          <w:p>
            <w:pPr>
              <w:snapToGrid w:val="0"/>
              <w:jc w:val="left"/>
              <w:rPr>
                <w:rFonts w:hint="eastAsia" w:ascii="宋体" w:hAnsi="宋体"/>
                <w:szCs w:val="21"/>
              </w:rPr>
            </w:pPr>
            <w:r>
              <w:rPr>
                <w:rFonts w:hint="eastAsia" w:ascii="宋体" w:hAnsi="宋体"/>
                <w:szCs w:val="21"/>
              </w:rPr>
              <w:t>E</w:t>
            </w:r>
            <w:r>
              <w:rPr>
                <w:rFonts w:hint="eastAsia" w:ascii="宋体" w:hAnsi="宋体"/>
                <w:szCs w:val="21"/>
                <w:vertAlign w:val="subscript"/>
              </w:rPr>
              <w:t>2</w:t>
            </w:r>
            <w:r>
              <w:rPr>
                <w:rFonts w:hint="eastAsia" w:ascii="宋体" w:hAnsi="宋体"/>
                <w:szCs w:val="21"/>
              </w:rPr>
              <w:t>是评标价每低于评标基准价一个百分点的扣分值，E</w:t>
            </w:r>
            <w:r>
              <w:rPr>
                <w:rFonts w:hint="eastAsia" w:ascii="宋体" w:hAnsi="宋体"/>
                <w:szCs w:val="21"/>
                <w:vertAlign w:val="subscript"/>
              </w:rPr>
              <w:t>2</w:t>
            </w:r>
            <w:r>
              <w:rPr>
                <w:rFonts w:hint="eastAsia" w:ascii="宋体" w:hAnsi="宋体"/>
                <w:szCs w:val="21"/>
              </w:rPr>
              <w:t>=</w:t>
            </w:r>
            <w:r>
              <w:rPr>
                <w:rFonts w:ascii="宋体" w:hAnsi="宋体"/>
                <w:szCs w:val="21"/>
              </w:rPr>
              <w:t>0.</w:t>
            </w: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exact"/>
          <w:jc w:val="center"/>
        </w:trPr>
        <w:tc>
          <w:tcPr>
            <w:tcW w:w="9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pacing w:val="-6"/>
                <w:szCs w:val="21"/>
              </w:rPr>
            </w:pPr>
            <w:r>
              <w:rPr>
                <w:rFonts w:hint="eastAsia" w:ascii="宋体" w:hAnsi="宋体"/>
                <w:spacing w:val="-6"/>
                <w:szCs w:val="21"/>
              </w:rPr>
              <w:t>2.2.2（</w:t>
            </w:r>
            <w:r>
              <w:rPr>
                <w:rFonts w:ascii="宋体" w:hAnsi="宋体"/>
                <w:spacing w:val="-6"/>
                <w:szCs w:val="21"/>
              </w:rPr>
              <w:t>4</w:t>
            </w:r>
            <w:r>
              <w:rPr>
                <w:rFonts w:hint="eastAsia" w:ascii="宋体" w:hAnsi="宋体"/>
                <w:spacing w:val="-6"/>
                <w:szCs w:val="21"/>
              </w:rPr>
              <w:t>）</w:t>
            </w:r>
          </w:p>
        </w:tc>
        <w:tc>
          <w:tcPr>
            <w:tcW w:w="1098" w:type="dxa"/>
            <w:tcBorders>
              <w:top w:val="single" w:color="auto" w:sz="4" w:space="0"/>
              <w:left w:val="single" w:color="auto" w:sz="4" w:space="0"/>
              <w:bottom w:val="single" w:color="auto" w:sz="4" w:space="0"/>
              <w:right w:val="single" w:color="auto" w:sz="4" w:space="0"/>
            </w:tcBorders>
            <w:vAlign w:val="center"/>
          </w:tcPr>
          <w:p>
            <w:pPr>
              <w:spacing w:beforeLines="50" w:afterLines="50"/>
              <w:ind w:right="113"/>
              <w:jc w:val="center"/>
              <w:rPr>
                <w:rFonts w:ascii="宋体" w:hAnsi="宋体" w:cs="宋体"/>
                <w:spacing w:val="-6"/>
                <w:szCs w:val="21"/>
              </w:rPr>
            </w:pPr>
            <w:r>
              <w:rPr>
                <w:rFonts w:hint="eastAsia" w:ascii="宋体" w:hAnsi="宋体" w:cs="宋体"/>
                <w:spacing w:val="-6"/>
                <w:szCs w:val="21"/>
              </w:rPr>
              <w:t>业绩</w:t>
            </w:r>
          </w:p>
          <w:p>
            <w:pPr>
              <w:spacing w:beforeLines="50" w:afterLines="50"/>
              <w:ind w:right="113"/>
              <w:jc w:val="center"/>
              <w:rPr>
                <w:rFonts w:hint="eastAsia" w:ascii="宋体" w:hAnsi="宋体" w:cs="宋体"/>
                <w:spacing w:val="-6"/>
                <w:szCs w:val="21"/>
              </w:rPr>
            </w:pPr>
            <w:r>
              <w:rPr>
                <w:rFonts w:hint="eastAsia" w:ascii="宋体" w:hAnsi="宋体" w:cs="宋体"/>
                <w:spacing w:val="-6"/>
                <w:szCs w:val="21"/>
              </w:rPr>
              <w:t>（</w:t>
            </w:r>
            <w:r>
              <w:rPr>
                <w:rFonts w:ascii="宋体" w:hAnsi="宋体" w:cs="宋体"/>
                <w:spacing w:val="-6"/>
                <w:szCs w:val="21"/>
              </w:rPr>
              <w:t>4</w:t>
            </w:r>
            <w:r>
              <w:rPr>
                <w:rFonts w:hint="eastAsia" w:ascii="宋体" w:hAnsi="宋体" w:cs="宋体"/>
                <w:spacing w:val="-6"/>
                <w:szCs w:val="21"/>
              </w:rPr>
              <w:t>0分）</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zCs w:val="21"/>
              </w:rPr>
            </w:pPr>
            <w:r>
              <w:rPr>
                <w:rFonts w:hint="eastAsia" w:ascii="宋体" w:hAnsi="宋体"/>
                <w:szCs w:val="21"/>
              </w:rPr>
              <w:t>单位业绩</w:t>
            </w: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spacing w:val="-6"/>
                <w:szCs w:val="21"/>
              </w:rPr>
            </w:pPr>
            <w:r>
              <w:rPr>
                <w:rFonts w:ascii="宋体" w:hAnsi="宋体"/>
                <w:spacing w:val="-6"/>
                <w:szCs w:val="21"/>
              </w:rPr>
              <w:t>4</w:t>
            </w:r>
            <w:r>
              <w:rPr>
                <w:rFonts w:hint="eastAsia" w:ascii="宋体" w:hAnsi="宋体"/>
                <w:spacing w:val="-6"/>
                <w:szCs w:val="21"/>
              </w:rPr>
              <w:t>0分</w:t>
            </w:r>
          </w:p>
        </w:tc>
        <w:tc>
          <w:tcPr>
            <w:tcW w:w="5690"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szCs w:val="21"/>
              </w:rPr>
            </w:pPr>
            <w:r>
              <w:rPr>
                <w:rFonts w:hint="eastAsia" w:ascii="宋体" w:hAnsi="宋体"/>
                <w:szCs w:val="21"/>
              </w:rPr>
              <w:t>满足附录</w:t>
            </w:r>
            <w:r>
              <w:rPr>
                <w:rFonts w:ascii="宋体" w:hAnsi="宋体"/>
                <w:szCs w:val="21"/>
              </w:rPr>
              <w:t>2</w:t>
            </w:r>
            <w:r>
              <w:rPr>
                <w:rFonts w:hint="eastAsia" w:ascii="宋体" w:hAnsi="宋体"/>
                <w:szCs w:val="21"/>
              </w:rPr>
              <w:t>资格审查条件(业绩最低要求)得</w:t>
            </w:r>
            <w:r>
              <w:rPr>
                <w:rFonts w:ascii="宋体" w:hAnsi="宋体"/>
                <w:szCs w:val="21"/>
              </w:rPr>
              <w:t>24</w:t>
            </w:r>
            <w:r>
              <w:rPr>
                <w:rFonts w:hint="eastAsia" w:ascii="宋体" w:hAnsi="宋体"/>
                <w:szCs w:val="21"/>
              </w:rPr>
              <w:t>分；</w:t>
            </w:r>
          </w:p>
          <w:p>
            <w:pPr>
              <w:snapToGrid w:val="0"/>
              <w:jc w:val="left"/>
              <w:rPr>
                <w:rFonts w:hint="eastAsia" w:ascii="宋体" w:hAnsi="宋体"/>
                <w:szCs w:val="21"/>
              </w:rPr>
            </w:pPr>
            <w:r>
              <w:rPr>
                <w:rFonts w:hint="eastAsia" w:ascii="宋体" w:hAnsi="宋体"/>
                <w:szCs w:val="21"/>
              </w:rPr>
              <w:t>每增加1项满足资格审查条件（业绩最低要求）的</w:t>
            </w:r>
            <w:r>
              <w:rPr>
                <w:rFonts w:hint="eastAsia" w:ascii="宋体" w:hAnsi="宋体"/>
                <w:kern w:val="0"/>
                <w:szCs w:val="21"/>
              </w:rPr>
              <w:t>业绩加</w:t>
            </w:r>
            <w:r>
              <w:rPr>
                <w:rFonts w:ascii="宋体" w:hAnsi="宋体"/>
                <w:kern w:val="0"/>
                <w:szCs w:val="21"/>
              </w:rPr>
              <w:t>8</w:t>
            </w:r>
            <w:r>
              <w:rPr>
                <w:rFonts w:hint="eastAsia" w:ascii="宋体" w:hAnsi="宋体"/>
                <w:kern w:val="0"/>
                <w:szCs w:val="21"/>
              </w:rPr>
              <w:t>分，本项最高加</w:t>
            </w:r>
            <w:r>
              <w:rPr>
                <w:rFonts w:ascii="宋体" w:hAnsi="宋体"/>
                <w:kern w:val="0"/>
                <w:szCs w:val="21"/>
              </w:rPr>
              <w:t>16</w:t>
            </w:r>
            <w:r>
              <w:rPr>
                <w:rFonts w:hint="eastAsia" w:ascii="宋体" w:hAnsi="宋体"/>
                <w:kern w:val="0"/>
                <w:szCs w:val="21"/>
              </w:rPr>
              <w:t>分。</w:t>
            </w:r>
          </w:p>
        </w:tc>
      </w:tr>
    </w:tbl>
    <w:p>
      <w:pPr>
        <w:spacing w:line="280" w:lineRule="exact"/>
        <w:rPr>
          <w:rFonts w:hint="eastAsia" w:ascii="宋体" w:hAnsi="宋体"/>
          <w:szCs w:val="21"/>
        </w:rPr>
      </w:pPr>
    </w:p>
    <w:p/>
    <w:p>
      <w:bookmarkStart w:id="20" w:name="_GoBack"/>
      <w:bookmarkEnd w:id="2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lZDZjZDc3Mzc5NzQ3ZjhhYzE5M2U3N2ZjNjg0ODEifQ=="/>
  </w:docVars>
  <w:rsids>
    <w:rsidRoot w:val="286B0047"/>
    <w:rsid w:val="286B0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2022-09-14T07:43:00Z</dcterms:created>
  <dc:creator> Y. /ladybug</dc:creator>
  <cp:lastModifiedBy> Y. /ladybug</cp:lastModifiedBy>
  <dcterms:modified xsi:type="dcterms:W3CDTF">2022-09-14T07:44:13Z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D601CDA0E95C4FC9AC5F1F9972B502C1</vt:lpwstr>
  </property>
</Properties>
</file>