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b w:val="0"/>
          <w:sz w:val="24"/>
        </w:rPr>
      </w:pPr>
      <w:r>
        <w:rPr>
          <w:rFonts w:ascii="宋体" w:hAnsi="宋体" w:eastAsia="宋体"/>
          <w:sz w:val="24"/>
        </w:rPr>
        <w:t>附件</w:t>
      </w:r>
      <w:r>
        <w:rPr>
          <w:rFonts w:hint="eastAsia" w:ascii="宋体" w:hAnsi="宋体" w:eastAsia="宋体"/>
          <w:sz w:val="24"/>
        </w:rPr>
        <w:t>1</w:t>
      </w:r>
      <w:r>
        <w:rPr>
          <w:rFonts w:ascii="宋体" w:hAnsi="宋体" w:eastAsia="宋体"/>
          <w:sz w:val="24"/>
        </w:rPr>
        <w:t xml:space="preserve">  资格</w:t>
      </w:r>
      <w:r>
        <w:rPr>
          <w:rFonts w:hint="eastAsia" w:ascii="宋体" w:hAnsi="宋体" w:eastAsia="宋体"/>
          <w:sz w:val="24"/>
        </w:rPr>
        <w:t>审查条件</w:t>
      </w:r>
    </w:p>
    <w:p>
      <w:pPr>
        <w:jc w:val="center"/>
        <w:rPr>
          <w:rStyle w:val="16"/>
          <w:rFonts w:ascii="宋体" w:hAnsi="宋体" w:eastAsia="宋体"/>
          <w:b/>
        </w:rPr>
      </w:pPr>
      <w:r>
        <w:rPr>
          <w:rStyle w:val="16"/>
          <w:rFonts w:hint="eastAsia" w:ascii="宋体" w:hAnsi="宋体" w:eastAsia="宋体"/>
          <w:b/>
        </w:rPr>
        <w:t>附录1  资格审查条件（资质最低条件）</w:t>
      </w:r>
    </w:p>
    <w:p>
      <w:pPr>
        <w:jc w:val="center"/>
        <w:rPr>
          <w:rStyle w:val="16"/>
          <w:rFonts w:hint="eastAsia" w:ascii="宋体" w:hAnsi="宋体" w:eastAsia="宋体"/>
          <w:b/>
        </w:rPr>
      </w:pPr>
    </w:p>
    <w:tbl>
      <w:tblPr>
        <w:tblStyle w:val="12"/>
        <w:tblW w:w="0" w:type="auto"/>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pPr>
              <w:jc w:val="center"/>
              <w:rPr>
                <w:rFonts w:ascii="宋体" w:hAnsi="宋体"/>
                <w:sz w:val="24"/>
                <w:szCs w:val="24"/>
              </w:rPr>
            </w:pPr>
            <w:r>
              <w:rPr>
                <w:rFonts w:hint="eastAsia" w:ascii="宋体" w:hAnsi="宋体"/>
                <w:sz w:val="24"/>
                <w:szCs w:val="24"/>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99"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pPr>
              <w:ind w:firstLine="561" w:firstLineChars="234"/>
              <w:jc w:val="left"/>
              <w:rPr>
                <w:rFonts w:hint="eastAsia" w:ascii="宋体" w:hAnsi="宋体"/>
                <w:sz w:val="24"/>
                <w:szCs w:val="32"/>
                <w:highlight w:val="none"/>
              </w:rPr>
            </w:pPr>
            <w:r>
              <w:rPr>
                <w:rFonts w:hint="eastAsia" w:ascii="宋体" w:hAnsi="宋体"/>
                <w:sz w:val="24"/>
                <w:szCs w:val="32"/>
                <w:highlight w:val="none"/>
              </w:rPr>
              <w:t>1、具有国内独立企业法人资格</w:t>
            </w:r>
            <w:r>
              <w:rPr>
                <w:rFonts w:hint="eastAsia" w:ascii="宋体" w:hAnsi="宋体" w:eastAsia="宋体" w:cs="Times New Roman"/>
                <w:sz w:val="24"/>
                <w:szCs w:val="32"/>
                <w:highlight w:val="none"/>
                <w:lang w:val="en-US" w:eastAsia="zh-CN"/>
              </w:rPr>
              <w:t>或其它组织</w:t>
            </w:r>
            <w:r>
              <w:rPr>
                <w:rFonts w:hint="eastAsia" w:ascii="宋体" w:hAnsi="宋体"/>
                <w:sz w:val="24"/>
                <w:szCs w:val="32"/>
                <w:highlight w:val="none"/>
              </w:rPr>
              <w:t>，持有有效的企业营业执照；</w:t>
            </w:r>
          </w:p>
          <w:p>
            <w:pPr>
              <w:ind w:firstLine="561" w:firstLineChars="234"/>
              <w:jc w:val="left"/>
              <w:rPr>
                <w:rFonts w:hint="eastAsia" w:ascii="宋体" w:hAnsi="宋体"/>
                <w:sz w:val="24"/>
                <w:szCs w:val="24"/>
              </w:rPr>
            </w:pPr>
            <w:r>
              <w:rPr>
                <w:rFonts w:hint="eastAsia" w:ascii="宋体" w:hAnsi="宋体" w:eastAsia="宋体" w:cs="Times New Roman"/>
                <w:sz w:val="24"/>
                <w:szCs w:val="32"/>
                <w:highlight w:val="none"/>
              </w:rPr>
              <w:t>2、具备行业主管部门颁发的有效的税务师事务所执业证书。</w:t>
            </w:r>
          </w:p>
        </w:tc>
      </w:tr>
    </w:tbl>
    <w:p>
      <w:pPr>
        <w:jc w:val="both"/>
        <w:rPr>
          <w:rStyle w:val="16"/>
          <w:rFonts w:ascii="宋体" w:hAnsi="宋体" w:eastAsia="宋体"/>
          <w:b/>
        </w:rPr>
      </w:pPr>
    </w:p>
    <w:p>
      <w:pPr>
        <w:jc w:val="center"/>
        <w:rPr>
          <w:rStyle w:val="16"/>
          <w:rFonts w:hint="eastAsia" w:ascii="宋体" w:hAnsi="宋体" w:eastAsia="宋体"/>
          <w:b/>
        </w:rPr>
      </w:pPr>
    </w:p>
    <w:p>
      <w:pPr>
        <w:jc w:val="center"/>
        <w:rPr>
          <w:rStyle w:val="17"/>
          <w:rFonts w:hint="eastAsia" w:ascii="宋体" w:hAnsi="宋体" w:eastAsia="宋体"/>
          <w:b/>
          <w:sz w:val="18"/>
          <w:szCs w:val="18"/>
        </w:rPr>
      </w:pPr>
      <w:r>
        <w:rPr>
          <w:rStyle w:val="17"/>
          <w:rFonts w:hint="eastAsia" w:ascii="宋体" w:hAnsi="宋体" w:eastAsia="宋体"/>
          <w:b/>
        </w:rPr>
        <w:t>附录2</w:t>
      </w:r>
      <w:r>
        <w:rPr>
          <w:rStyle w:val="17"/>
          <w:rFonts w:ascii="宋体" w:hAnsi="宋体" w:eastAsia="宋体"/>
          <w:b/>
        </w:rPr>
        <w:t xml:space="preserve"> </w:t>
      </w:r>
      <w:r>
        <w:rPr>
          <w:rStyle w:val="17"/>
          <w:rFonts w:hint="eastAsia" w:ascii="宋体" w:hAnsi="宋体" w:eastAsia="宋体"/>
          <w:b/>
        </w:rPr>
        <w:t xml:space="preserve"> 资格审查条件（</w:t>
      </w:r>
      <w:r>
        <w:rPr>
          <w:rStyle w:val="16"/>
          <w:rFonts w:hint="eastAsia" w:ascii="宋体" w:hAnsi="宋体" w:eastAsia="宋体" w:cs="Times New Roman"/>
          <w:b/>
        </w:rPr>
        <w:t>业绩最低</w:t>
      </w:r>
      <w:r>
        <w:rPr>
          <w:rStyle w:val="16"/>
          <w:rFonts w:hint="eastAsia" w:ascii="宋体" w:hAnsi="宋体" w:eastAsia="宋体" w:cs="Times New Roman"/>
          <w:b/>
          <w:lang w:val="en-US" w:eastAsia="zh-CN"/>
        </w:rPr>
        <w:t>条件</w:t>
      </w:r>
      <w:r>
        <w:rPr>
          <w:rStyle w:val="17"/>
          <w:rFonts w:hint="eastAsia" w:ascii="宋体" w:hAnsi="宋体" w:eastAsia="宋体"/>
          <w:b/>
        </w:rPr>
        <w:t>）</w:t>
      </w:r>
    </w:p>
    <w:p>
      <w:pPr>
        <w:rPr>
          <w:rFonts w:hint="eastAsia" w:ascii="宋体" w:hAnsi="宋体"/>
          <w:b/>
          <w:sz w:val="18"/>
          <w:szCs w:val="18"/>
        </w:rPr>
      </w:pPr>
    </w:p>
    <w:tbl>
      <w:tblPr>
        <w:tblStyle w:val="1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sz w:val="24"/>
                <w:szCs w:val="24"/>
              </w:rPr>
            </w:pPr>
            <w:r>
              <w:rPr>
                <w:rFonts w:hint="eastAsia" w:ascii="宋体" w:hAnsi="宋体"/>
                <w:sz w:val="24"/>
                <w:szCs w:val="24"/>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22" w:type="dxa"/>
            <w:noWrap w:val="0"/>
            <w:vAlign w:val="center"/>
          </w:tcPr>
          <w:p>
            <w:pPr>
              <w:widowControl/>
              <w:ind w:firstLine="480" w:firstLineChars="200"/>
              <w:jc w:val="left"/>
              <w:rPr>
                <w:rFonts w:hint="default" w:ascii="宋体" w:hAnsi="宋体"/>
                <w:sz w:val="24"/>
                <w:szCs w:val="24"/>
                <w:lang w:val="en-US"/>
              </w:rPr>
            </w:pPr>
            <w:r>
              <w:rPr>
                <w:rFonts w:hint="eastAsia" w:ascii="宋体" w:hAnsi="宋体"/>
                <w:sz w:val="24"/>
                <w:szCs w:val="24"/>
                <w:highlight w:val="none"/>
              </w:rPr>
              <w:t>近</w:t>
            </w:r>
            <w:r>
              <w:rPr>
                <w:rFonts w:hint="eastAsia" w:ascii="宋体" w:hAnsi="宋体"/>
                <w:sz w:val="24"/>
                <w:szCs w:val="24"/>
                <w:highlight w:val="none"/>
                <w:lang w:val="en-US" w:eastAsia="zh-CN"/>
              </w:rPr>
              <w:t>3</w:t>
            </w:r>
            <w:r>
              <w:rPr>
                <w:rFonts w:hint="eastAsia" w:ascii="宋体" w:hAnsi="宋体"/>
                <w:sz w:val="24"/>
                <w:szCs w:val="24"/>
                <w:highlight w:val="none"/>
              </w:rPr>
              <w:t>年内(201</w:t>
            </w:r>
            <w:r>
              <w:rPr>
                <w:rFonts w:hint="eastAsia" w:ascii="宋体" w:hAnsi="宋体"/>
                <w:sz w:val="24"/>
                <w:szCs w:val="24"/>
                <w:highlight w:val="none"/>
                <w:lang w:val="en-US" w:eastAsia="zh-CN"/>
              </w:rPr>
              <w:t>9</w:t>
            </w:r>
            <w:r>
              <w:rPr>
                <w:rFonts w:hint="eastAsia" w:ascii="宋体" w:hAnsi="宋体"/>
                <w:sz w:val="24"/>
                <w:szCs w:val="24"/>
                <w:highlight w:val="none"/>
              </w:rPr>
              <w:t>年</w:t>
            </w:r>
            <w:r>
              <w:rPr>
                <w:rFonts w:hint="eastAsia" w:ascii="宋体" w:hAnsi="宋体"/>
                <w:sz w:val="24"/>
                <w:szCs w:val="24"/>
                <w:highlight w:val="none"/>
                <w:lang w:val="en-US" w:eastAsia="zh-CN"/>
              </w:rPr>
              <w:t>8</w:t>
            </w:r>
            <w:r>
              <w:rPr>
                <w:rFonts w:hint="eastAsia" w:ascii="宋体" w:hAnsi="宋体"/>
                <w:sz w:val="24"/>
                <w:szCs w:val="24"/>
                <w:highlight w:val="none"/>
              </w:rPr>
              <w:t>月1日至今</w:t>
            </w:r>
            <w:r>
              <w:rPr>
                <w:rFonts w:hint="eastAsia" w:ascii="宋体" w:hAnsi="宋体" w:cs="宋体"/>
                <w:color w:val="000000"/>
                <w:sz w:val="24"/>
                <w:szCs w:val="24"/>
                <w:highlight w:val="none"/>
              </w:rPr>
              <w:t>，以合同签订时间为准</w:t>
            </w:r>
            <w:r>
              <w:rPr>
                <w:rFonts w:hint="eastAsia" w:ascii="宋体" w:hAnsi="宋体"/>
                <w:sz w:val="24"/>
                <w:szCs w:val="24"/>
                <w:highlight w:val="none"/>
              </w:rPr>
              <w:t>)</w:t>
            </w:r>
            <w:r>
              <w:rPr>
                <w:rFonts w:hint="eastAsia" w:ascii="宋体" w:hAnsi="宋体"/>
                <w:sz w:val="24"/>
                <w:szCs w:val="24"/>
                <w:highlight w:val="none"/>
                <w:lang w:val="en-US" w:eastAsia="zh-CN"/>
              </w:rPr>
              <w:t>承揽</w:t>
            </w:r>
            <w:r>
              <w:rPr>
                <w:rFonts w:hint="eastAsia" w:ascii="宋体" w:hAnsi="宋体"/>
                <w:sz w:val="24"/>
                <w:szCs w:val="24"/>
                <w:highlight w:val="none"/>
              </w:rPr>
              <w:t>过1项</w:t>
            </w:r>
            <w:r>
              <w:rPr>
                <w:rFonts w:hint="eastAsia" w:ascii="宋体" w:hAnsi="宋体"/>
                <w:sz w:val="24"/>
                <w:szCs w:val="24"/>
                <w:highlight w:val="none"/>
                <w:lang w:val="en-US" w:eastAsia="zh-CN"/>
              </w:rPr>
              <w:t>税务咨询业绩。</w:t>
            </w:r>
          </w:p>
        </w:tc>
      </w:tr>
    </w:tbl>
    <w:p>
      <w:pPr>
        <w:rPr>
          <w:rFonts w:ascii="宋体" w:hAnsi="宋体"/>
          <w:b/>
          <w:sz w:val="18"/>
          <w:szCs w:val="18"/>
        </w:rPr>
      </w:pPr>
    </w:p>
    <w:p>
      <w:pPr>
        <w:rPr>
          <w:rFonts w:ascii="宋体" w:hAnsi="宋体"/>
          <w:b/>
          <w:sz w:val="18"/>
          <w:szCs w:val="18"/>
        </w:rPr>
      </w:pPr>
    </w:p>
    <w:p>
      <w:pPr>
        <w:rPr>
          <w:rFonts w:hint="eastAsia" w:ascii="宋体" w:hAnsi="宋体"/>
          <w:b/>
          <w:sz w:val="18"/>
          <w:szCs w:val="18"/>
        </w:rPr>
      </w:pPr>
    </w:p>
    <w:p>
      <w:pPr>
        <w:jc w:val="center"/>
        <w:rPr>
          <w:rFonts w:hint="eastAsia" w:ascii="宋体" w:hAnsi="宋体"/>
          <w:b/>
          <w:sz w:val="24"/>
        </w:rPr>
      </w:pPr>
      <w:r>
        <w:rPr>
          <w:rFonts w:hint="eastAsia" w:ascii="宋体" w:hAnsi="宋体"/>
          <w:b/>
          <w:sz w:val="24"/>
        </w:rPr>
        <w:t>附录</w:t>
      </w:r>
      <w:r>
        <w:rPr>
          <w:rFonts w:ascii="宋体" w:hAnsi="宋体"/>
          <w:b/>
          <w:sz w:val="24"/>
        </w:rPr>
        <w:t>3</w:t>
      </w:r>
      <w:r>
        <w:rPr>
          <w:rFonts w:hint="eastAsia" w:ascii="宋体" w:hAnsi="宋体"/>
          <w:b/>
          <w:sz w:val="24"/>
        </w:rPr>
        <w:t xml:space="preserve">  资格审查条件（信誉最低要求）</w:t>
      </w:r>
    </w:p>
    <w:tbl>
      <w:tblPr>
        <w:tblStyle w:val="1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jc w:val="center"/>
              <w:rPr>
                <w:rFonts w:ascii="宋体" w:hAnsi="宋体"/>
                <w:sz w:val="24"/>
                <w:szCs w:val="24"/>
              </w:rPr>
            </w:pPr>
            <w:r>
              <w:rPr>
                <w:rFonts w:hint="eastAsia" w:ascii="宋体" w:hAnsi="宋体"/>
                <w:sz w:val="24"/>
                <w:szCs w:val="24"/>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343" w:type="dxa"/>
            <w:noWrap w:val="0"/>
            <w:vAlign w:val="center"/>
          </w:tcPr>
          <w:p>
            <w:pPr>
              <w:spacing w:line="240" w:lineRule="auto"/>
              <w:ind w:firstLine="480" w:firstLineChars="200"/>
              <w:jc w:val="left"/>
              <w:rPr>
                <w:rFonts w:hint="eastAsia"/>
                <w:sz w:val="24"/>
                <w:szCs w:val="24"/>
              </w:rPr>
            </w:pPr>
            <w:r>
              <w:rPr>
                <w:rFonts w:hint="eastAsia"/>
                <w:sz w:val="24"/>
                <w:szCs w:val="24"/>
              </w:rPr>
              <w:t>1、投标人在近1年(20</w:t>
            </w:r>
            <w:r>
              <w:rPr>
                <w:rFonts w:hint="eastAsia"/>
                <w:sz w:val="24"/>
                <w:szCs w:val="24"/>
                <w:lang w:val="en-US" w:eastAsia="zh-CN"/>
              </w:rPr>
              <w:t>21</w:t>
            </w:r>
            <w:r>
              <w:rPr>
                <w:rFonts w:hint="eastAsia"/>
                <w:sz w:val="24"/>
                <w:szCs w:val="24"/>
              </w:rPr>
              <w:t>年</w:t>
            </w:r>
            <w:r>
              <w:rPr>
                <w:rFonts w:hint="eastAsia"/>
                <w:sz w:val="24"/>
                <w:szCs w:val="24"/>
                <w:lang w:val="en-US" w:eastAsia="zh-CN"/>
              </w:rPr>
              <w:t>8</w:t>
            </w:r>
            <w:r>
              <w:rPr>
                <w:rFonts w:hint="eastAsia"/>
                <w:sz w:val="24"/>
                <w:szCs w:val="24"/>
              </w:rPr>
              <w:t>月1日至今)中</w:t>
            </w:r>
            <w:r>
              <w:rPr>
                <w:rFonts w:hint="eastAsia"/>
                <w:sz w:val="24"/>
                <w:szCs w:val="24"/>
                <w:lang w:eastAsia="zh-CN"/>
              </w:rPr>
              <w:t>不曾在税务咨询合同中违约而被驱逐或因投标人自身的原因而使税务咨询合同被解除</w:t>
            </w:r>
            <w:r>
              <w:rPr>
                <w:rFonts w:hint="eastAsia"/>
                <w:sz w:val="24"/>
                <w:szCs w:val="24"/>
              </w:rPr>
              <w:t>。</w:t>
            </w:r>
          </w:p>
          <w:p>
            <w:pPr>
              <w:spacing w:line="240" w:lineRule="auto"/>
              <w:ind w:firstLine="480" w:firstLineChars="200"/>
              <w:jc w:val="left"/>
              <w:rPr>
                <w:rFonts w:hint="eastAsia"/>
                <w:sz w:val="24"/>
                <w:szCs w:val="24"/>
              </w:rPr>
            </w:pPr>
            <w:r>
              <w:rPr>
                <w:rFonts w:hint="eastAsia"/>
                <w:sz w:val="24"/>
                <w:szCs w:val="24"/>
              </w:rPr>
              <w:t>2、投标人</w:t>
            </w:r>
            <w:r>
              <w:rPr>
                <w:rFonts w:hint="eastAsia"/>
                <w:sz w:val="24"/>
                <w:szCs w:val="24"/>
                <w:lang w:val="en-US" w:eastAsia="zh-CN"/>
              </w:rPr>
              <w:t>在</w:t>
            </w:r>
            <w:r>
              <w:rPr>
                <w:rFonts w:hint="eastAsia"/>
                <w:sz w:val="24"/>
                <w:szCs w:val="24"/>
              </w:rPr>
              <w:t>“信用中国”</w:t>
            </w:r>
            <w:r>
              <w:rPr>
                <w:rFonts w:hint="eastAsia"/>
                <w:sz w:val="24"/>
                <w:szCs w:val="24"/>
                <w:lang w:val="en-US" w:eastAsia="zh-CN"/>
              </w:rPr>
              <w:t>中未被</w:t>
            </w:r>
            <w:r>
              <w:rPr>
                <w:rFonts w:hint="eastAsia"/>
                <w:sz w:val="24"/>
                <w:szCs w:val="24"/>
                <w:highlight w:val="none"/>
                <w:lang w:val="en-US" w:eastAsia="zh-CN"/>
              </w:rPr>
              <w:t>列入</w:t>
            </w:r>
            <w:r>
              <w:rPr>
                <w:rFonts w:hint="eastAsia"/>
                <w:sz w:val="24"/>
                <w:szCs w:val="24"/>
                <w:highlight w:val="none"/>
              </w:rPr>
              <w:t>失信被执行人</w:t>
            </w:r>
            <w:r>
              <w:rPr>
                <w:rFonts w:hint="eastAsia"/>
                <w:sz w:val="24"/>
                <w:szCs w:val="24"/>
                <w:lang w:eastAsia="zh-CN"/>
              </w:rPr>
              <w:t>、异常经营名录、税收违法黑名单、政府采购严重违法失信行为记录名单</w:t>
            </w:r>
            <w:r>
              <w:rPr>
                <w:rFonts w:hint="eastAsia"/>
                <w:sz w:val="24"/>
                <w:szCs w:val="24"/>
              </w:rPr>
              <w:t>及</w:t>
            </w:r>
            <w:r>
              <w:rPr>
                <w:rFonts w:hint="eastAsia"/>
                <w:sz w:val="24"/>
                <w:szCs w:val="24"/>
                <w:lang w:eastAsia="zh-CN"/>
              </w:rPr>
              <w:t>“</w:t>
            </w:r>
            <w:r>
              <w:rPr>
                <w:rFonts w:hint="eastAsia"/>
                <w:sz w:val="24"/>
                <w:szCs w:val="24"/>
              </w:rPr>
              <w:t>国家企业信用信息公示系统</w:t>
            </w:r>
            <w:r>
              <w:rPr>
                <w:rFonts w:hint="eastAsia"/>
                <w:sz w:val="24"/>
                <w:szCs w:val="24"/>
                <w:lang w:eastAsia="zh-CN"/>
              </w:rPr>
              <w:t>”</w:t>
            </w:r>
            <w:r>
              <w:rPr>
                <w:rFonts w:hint="eastAsia"/>
                <w:sz w:val="24"/>
                <w:szCs w:val="24"/>
                <w:lang w:val="en-US" w:eastAsia="zh-CN"/>
              </w:rPr>
              <w:t>中未被列入</w:t>
            </w:r>
            <w:r>
              <w:rPr>
                <w:rFonts w:hint="eastAsia"/>
                <w:sz w:val="24"/>
                <w:szCs w:val="24"/>
              </w:rPr>
              <w:t>严重违法失信名单。</w:t>
            </w:r>
          </w:p>
          <w:p>
            <w:pPr>
              <w:pStyle w:val="11"/>
              <w:spacing w:line="240" w:lineRule="auto"/>
              <w:rPr>
                <w:rFonts w:hint="eastAsia" w:eastAsia="宋体"/>
                <w:sz w:val="24"/>
                <w:szCs w:val="24"/>
                <w:lang w:val="en-US" w:eastAsia="zh-CN"/>
              </w:rPr>
            </w:pPr>
            <w:r>
              <w:rPr>
                <w:rFonts w:hint="eastAsia"/>
                <w:sz w:val="24"/>
                <w:szCs w:val="24"/>
                <w:lang w:val="en-US" w:eastAsia="zh-CN"/>
              </w:rPr>
              <w:t>3、投标人及其法定代表人在近三年（2019年8月1日至今）内有行贿犯罪记录的，不得参加投标。</w:t>
            </w:r>
          </w:p>
        </w:tc>
      </w:tr>
    </w:tbl>
    <w:p>
      <w:pPr>
        <w:rPr>
          <w:rFonts w:ascii="宋体" w:hAnsi="宋体"/>
          <w:b/>
          <w:sz w:val="24"/>
        </w:rPr>
      </w:pPr>
    </w:p>
    <w:p>
      <w:pPr>
        <w:rPr>
          <w:rFonts w:hint="eastAsia" w:ascii="宋体" w:hAnsi="宋体"/>
          <w:b/>
          <w:sz w:val="24"/>
        </w:rPr>
      </w:pPr>
    </w:p>
    <w:p>
      <w:pPr>
        <w:jc w:val="center"/>
        <w:rPr>
          <w:rStyle w:val="16"/>
          <w:rFonts w:hint="eastAsia" w:ascii="宋体" w:hAnsi="宋体" w:eastAsia="宋体"/>
          <w:b/>
        </w:rPr>
      </w:pPr>
      <w:r>
        <w:rPr>
          <w:rStyle w:val="16"/>
          <w:rFonts w:hint="eastAsia" w:ascii="宋体" w:hAnsi="宋体" w:eastAsia="宋体"/>
          <w:b/>
        </w:rPr>
        <w:t>附录</w:t>
      </w:r>
      <w:r>
        <w:rPr>
          <w:rStyle w:val="16"/>
          <w:rFonts w:ascii="宋体" w:hAnsi="宋体" w:eastAsia="宋体"/>
          <w:b/>
        </w:rPr>
        <w:t>4</w:t>
      </w:r>
      <w:r>
        <w:rPr>
          <w:rStyle w:val="16"/>
          <w:rFonts w:hint="eastAsia" w:ascii="宋体" w:hAnsi="宋体" w:eastAsia="宋体"/>
          <w:b/>
        </w:rPr>
        <w:t xml:space="preserve">  资格审查条件(项目负责人最低条件)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727"/>
        <w:gridCol w:w="6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951" w:type="dxa"/>
            <w:noWrap w:val="0"/>
            <w:vAlign w:val="center"/>
          </w:tcPr>
          <w:p>
            <w:pPr>
              <w:pStyle w:val="10"/>
              <w:spacing w:before="0" w:beforeAutospacing="0" w:after="0" w:afterAutospacing="0" w:line="400" w:lineRule="exact"/>
              <w:contextualSpacing/>
              <w:jc w:val="center"/>
              <w:rPr>
                <w:rFonts w:hint="eastAsia" w:eastAsia="宋体"/>
                <w:sz w:val="24"/>
                <w:szCs w:val="24"/>
                <w:lang w:eastAsia="zh-CN"/>
              </w:rPr>
            </w:pPr>
            <w:r>
              <w:rPr>
                <w:rFonts w:hint="eastAsia"/>
                <w:sz w:val="24"/>
                <w:szCs w:val="24"/>
                <w:lang w:val="en-US" w:eastAsia="zh-CN"/>
              </w:rPr>
              <w:t>人员</w:t>
            </w:r>
          </w:p>
        </w:tc>
        <w:tc>
          <w:tcPr>
            <w:tcW w:w="727" w:type="dxa"/>
            <w:noWrap w:val="0"/>
            <w:vAlign w:val="center"/>
          </w:tcPr>
          <w:p>
            <w:pPr>
              <w:pStyle w:val="10"/>
              <w:spacing w:before="0" w:beforeAutospacing="0" w:after="0" w:afterAutospacing="0" w:line="400" w:lineRule="exact"/>
              <w:contextualSpacing/>
              <w:jc w:val="center"/>
              <w:rPr>
                <w:rFonts w:hint="eastAsia"/>
                <w:sz w:val="24"/>
                <w:szCs w:val="24"/>
              </w:rPr>
            </w:pPr>
            <w:r>
              <w:rPr>
                <w:rFonts w:hint="eastAsia"/>
                <w:sz w:val="24"/>
                <w:szCs w:val="24"/>
              </w:rPr>
              <w:t>数量</w:t>
            </w:r>
          </w:p>
        </w:tc>
        <w:tc>
          <w:tcPr>
            <w:tcW w:w="6665" w:type="dxa"/>
            <w:noWrap w:val="0"/>
            <w:vAlign w:val="center"/>
          </w:tcPr>
          <w:p>
            <w:pPr>
              <w:pStyle w:val="10"/>
              <w:spacing w:before="0" w:beforeAutospacing="0" w:after="0" w:afterAutospacing="0" w:line="400" w:lineRule="exact"/>
              <w:contextualSpacing/>
              <w:jc w:val="center"/>
              <w:rPr>
                <w:sz w:val="24"/>
                <w:szCs w:val="24"/>
              </w:rPr>
            </w:pPr>
            <w:r>
              <w:rPr>
                <w:rFonts w:hint="eastAsia"/>
                <w:sz w:val="24"/>
                <w:szCs w:val="24"/>
              </w:rPr>
              <w:t>资 格 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1951" w:type="dxa"/>
            <w:noWrap w:val="0"/>
            <w:vAlign w:val="center"/>
          </w:tcPr>
          <w:p>
            <w:pPr>
              <w:jc w:val="center"/>
              <w:rPr>
                <w:rFonts w:hint="default" w:eastAsia="宋体"/>
                <w:bCs/>
                <w:iCs/>
                <w:color w:val="auto"/>
                <w:sz w:val="24"/>
                <w:szCs w:val="24"/>
                <w:lang w:val="en-US" w:eastAsia="zh-CN"/>
              </w:rPr>
            </w:pPr>
            <w:r>
              <w:rPr>
                <w:rFonts w:hint="eastAsia"/>
                <w:bCs/>
                <w:color w:val="auto"/>
                <w:sz w:val="24"/>
                <w:szCs w:val="24"/>
                <w:lang w:val="en-US" w:eastAsia="zh-CN"/>
              </w:rPr>
              <w:t>项目负责人</w:t>
            </w:r>
          </w:p>
        </w:tc>
        <w:tc>
          <w:tcPr>
            <w:tcW w:w="727" w:type="dxa"/>
            <w:noWrap w:val="0"/>
            <w:vAlign w:val="center"/>
          </w:tcPr>
          <w:p>
            <w:pPr>
              <w:jc w:val="center"/>
              <w:rPr>
                <w:bCs/>
                <w:color w:val="auto"/>
                <w:sz w:val="24"/>
                <w:szCs w:val="24"/>
              </w:rPr>
            </w:pPr>
            <w:r>
              <w:rPr>
                <w:rFonts w:hint="eastAsia"/>
                <w:bCs/>
                <w:color w:val="auto"/>
                <w:sz w:val="24"/>
                <w:szCs w:val="24"/>
              </w:rPr>
              <w:t>1人</w:t>
            </w:r>
          </w:p>
        </w:tc>
        <w:tc>
          <w:tcPr>
            <w:tcW w:w="6665" w:type="dxa"/>
            <w:noWrap w:val="0"/>
            <w:vAlign w:val="center"/>
          </w:tcPr>
          <w:p>
            <w:pPr>
              <w:jc w:val="center"/>
              <w:rPr>
                <w:bCs/>
                <w:color w:val="auto"/>
                <w:sz w:val="24"/>
                <w:szCs w:val="24"/>
                <w:lang w:val="en-GB"/>
              </w:rPr>
            </w:pPr>
            <w:r>
              <w:rPr>
                <w:rFonts w:hint="eastAsia" w:ascii="宋体" w:hAnsi="宋体"/>
                <w:color w:val="auto"/>
                <w:sz w:val="24"/>
                <w:szCs w:val="24"/>
                <w:lang w:val="en-US" w:eastAsia="zh-CN"/>
              </w:rPr>
              <w:t>具备注册税务师资格证书</w:t>
            </w:r>
            <w:r>
              <w:rPr>
                <w:rFonts w:hint="eastAsia" w:ascii="宋体" w:hAnsi="宋体"/>
                <w:color w:val="auto"/>
                <w:sz w:val="24"/>
                <w:szCs w:val="24"/>
              </w:rPr>
              <w:t>。</w:t>
            </w:r>
          </w:p>
        </w:tc>
      </w:tr>
    </w:tbl>
    <w:p>
      <w:pPr>
        <w:rPr>
          <w:rFonts w:ascii="宋体" w:hAnsi="宋体"/>
          <w:b/>
          <w:sz w:val="24"/>
        </w:rPr>
      </w:pPr>
    </w:p>
    <w:p>
      <w:pPr>
        <w:pStyle w:val="11"/>
        <w:rPr>
          <w:rFonts w:ascii="宋体" w:hAnsi="宋体"/>
          <w:b/>
          <w:sz w:val="24"/>
        </w:rPr>
      </w:pPr>
    </w:p>
    <w:p>
      <w:pPr>
        <w:pStyle w:val="11"/>
        <w:rPr>
          <w:rFonts w:ascii="宋体" w:hAnsi="宋体"/>
          <w:b/>
          <w:sz w:val="24"/>
        </w:rPr>
        <w:sectPr>
          <w:headerReference r:id="rId3" w:type="default"/>
          <w:pgSz w:w="11906" w:h="16838"/>
          <w:pgMar w:top="1418" w:right="1361" w:bottom="1361" w:left="1418" w:header="851" w:footer="737" w:gutter="0"/>
          <w:cols w:space="720" w:num="1"/>
          <w:docGrid w:linePitch="312" w:charSpace="0"/>
        </w:sectPr>
      </w:pPr>
    </w:p>
    <w:p>
      <w:pPr>
        <w:pStyle w:val="3"/>
        <w:rPr>
          <w:rFonts w:ascii="宋体" w:hAnsi="宋体" w:eastAsia="宋体"/>
          <w:sz w:val="24"/>
        </w:rPr>
      </w:pPr>
      <w:r>
        <w:rPr>
          <w:rFonts w:hint="eastAsia" w:ascii="宋体" w:hAnsi="宋体" w:eastAsia="宋体"/>
          <w:sz w:val="24"/>
        </w:rPr>
        <w:t>附件2 评标办法</w:t>
      </w:r>
    </w:p>
    <w:p>
      <w:pPr>
        <w:jc w:val="center"/>
        <w:rPr>
          <w:rFonts w:ascii="宋体" w:hAnsi="宋体"/>
          <w:b/>
          <w:sz w:val="24"/>
        </w:rPr>
      </w:pPr>
      <w:r>
        <w:rPr>
          <w:rFonts w:hint="eastAsia" w:ascii="宋体" w:hAnsi="宋体"/>
          <w:b/>
          <w:sz w:val="24"/>
        </w:rPr>
        <w:t>评标办法（综合评</w:t>
      </w:r>
      <w:r>
        <w:rPr>
          <w:rFonts w:hint="eastAsia" w:ascii="宋体" w:hAnsi="宋体"/>
          <w:b/>
          <w:sz w:val="24"/>
          <w:lang w:val="en-US" w:eastAsia="zh-CN"/>
        </w:rPr>
        <w:t>分</w:t>
      </w:r>
      <w:r>
        <w:rPr>
          <w:rFonts w:hint="eastAsia" w:ascii="宋体" w:hAnsi="宋体"/>
          <w:b/>
          <w:sz w:val="24"/>
        </w:rPr>
        <w:t>法）</w:t>
      </w:r>
    </w:p>
    <w:p>
      <w:pPr>
        <w:pStyle w:val="14"/>
        <w:spacing w:before="0" w:beforeLines="0" w:after="0" w:afterLines="0" w:line="240" w:lineRule="auto"/>
        <w:rPr>
          <w:rFonts w:ascii="宋体" w:hAnsi="宋体" w:eastAsia="宋体"/>
        </w:rPr>
      </w:pPr>
      <w:r>
        <w:rPr>
          <w:rFonts w:hint="eastAsia" w:ascii="宋体" w:hAnsi="宋体" w:eastAsia="宋体"/>
        </w:rPr>
        <w:t>评标办法前附表</w:t>
      </w:r>
    </w:p>
    <w:tbl>
      <w:tblPr>
        <w:tblStyle w:val="12"/>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967"/>
        <w:gridCol w:w="1741"/>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2023" w:type="dxa"/>
            <w:gridSpan w:val="2"/>
            <w:noWrap w:val="0"/>
            <w:vAlign w:val="center"/>
          </w:tcPr>
          <w:p>
            <w:pPr>
              <w:jc w:val="center"/>
              <w:rPr>
                <w:rFonts w:hint="eastAsia" w:ascii="宋体" w:hAnsi="宋体" w:eastAsia="宋体" w:cs="宋体"/>
                <w:sz w:val="24"/>
                <w:szCs w:val="24"/>
                <w:vertAlign w:val="superscript"/>
              </w:rPr>
            </w:pPr>
            <w:r>
              <w:rPr>
                <w:rFonts w:hint="eastAsia" w:ascii="宋体" w:hAnsi="宋体" w:eastAsia="宋体" w:cs="宋体"/>
                <w:b/>
                <w:sz w:val="24"/>
                <w:szCs w:val="24"/>
              </w:rPr>
              <w:t>条款号</w:t>
            </w:r>
          </w:p>
        </w:tc>
        <w:tc>
          <w:tcPr>
            <w:tcW w:w="7707" w:type="dxa"/>
            <w:gridSpan w:val="2"/>
            <w:noWrap w:val="0"/>
            <w:vAlign w:val="center"/>
          </w:tcPr>
          <w:p>
            <w:pPr>
              <w:jc w:val="center"/>
              <w:rPr>
                <w:rFonts w:hint="eastAsia" w:ascii="宋体" w:hAnsi="宋体" w:eastAsia="宋体" w:cs="宋体"/>
                <w:sz w:val="24"/>
                <w:szCs w:val="24"/>
                <w:vertAlign w:val="superscript"/>
              </w:rPr>
            </w:pPr>
            <w:r>
              <w:rPr>
                <w:rFonts w:hint="eastAsia" w:ascii="宋体" w:hAnsi="宋体" w:eastAsia="宋体" w:cs="宋体"/>
                <w:b/>
                <w:sz w:val="24"/>
                <w:szCs w:val="24"/>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1056" w:type="dxa"/>
            <w:noWrap w:val="0"/>
            <w:vAlign w:val="center"/>
          </w:tcPr>
          <w:p>
            <w:pPr>
              <w:jc w:val="center"/>
              <w:rPr>
                <w:rFonts w:hint="eastAsia" w:ascii="宋体" w:hAnsi="宋体" w:eastAsia="宋体" w:cs="宋体"/>
                <w:sz w:val="24"/>
                <w:szCs w:val="24"/>
                <w:highlight w:val="none"/>
                <w:vertAlign w:val="superscript"/>
              </w:rPr>
            </w:pPr>
            <w:r>
              <w:rPr>
                <w:rFonts w:hint="eastAsia" w:ascii="宋体" w:hAnsi="宋体" w:eastAsia="宋体" w:cs="宋体"/>
                <w:sz w:val="24"/>
                <w:szCs w:val="24"/>
                <w:highlight w:val="none"/>
              </w:rPr>
              <w:t>1</w:t>
            </w:r>
          </w:p>
        </w:tc>
        <w:tc>
          <w:tcPr>
            <w:tcW w:w="967" w:type="dxa"/>
            <w:noWrap w:val="0"/>
            <w:vAlign w:val="center"/>
          </w:tcPr>
          <w:p>
            <w:pPr>
              <w:jc w:val="center"/>
              <w:rPr>
                <w:rFonts w:hint="eastAsia" w:ascii="宋体" w:hAnsi="宋体" w:eastAsia="宋体" w:cs="宋体"/>
                <w:sz w:val="24"/>
                <w:szCs w:val="24"/>
                <w:highlight w:val="none"/>
                <w:vertAlign w:val="superscript"/>
              </w:rPr>
            </w:pPr>
            <w:r>
              <w:rPr>
                <w:rFonts w:hint="eastAsia" w:ascii="宋体" w:hAnsi="宋体" w:eastAsia="宋体" w:cs="宋体"/>
                <w:sz w:val="24"/>
                <w:szCs w:val="24"/>
                <w:highlight w:val="none"/>
              </w:rPr>
              <w:t>评标办法</w:t>
            </w:r>
          </w:p>
        </w:tc>
        <w:tc>
          <w:tcPr>
            <w:tcW w:w="7707" w:type="dxa"/>
            <w:gridSpan w:val="2"/>
            <w:noWrap w:val="0"/>
            <w:vAlign w:val="center"/>
          </w:tcPr>
          <w:p>
            <w:pPr>
              <w:spacing w:line="360" w:lineRule="exact"/>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本次招标</w:t>
            </w:r>
            <w:r>
              <w:rPr>
                <w:rFonts w:hint="eastAsia" w:ascii="宋体" w:hAnsi="宋体" w:eastAsia="宋体" w:cs="宋体"/>
                <w:bCs/>
                <w:sz w:val="24"/>
                <w:szCs w:val="24"/>
                <w:highlight w:val="none"/>
              </w:rPr>
              <w:t>采用资格后审方式，双信封形式，评标办法采用综合评</w:t>
            </w:r>
            <w:r>
              <w:rPr>
                <w:rFonts w:hint="eastAsia" w:ascii="宋体" w:hAnsi="宋体" w:eastAsia="宋体" w:cs="宋体"/>
                <w:bCs/>
                <w:sz w:val="24"/>
                <w:szCs w:val="24"/>
                <w:highlight w:val="none"/>
                <w:lang w:val="en-US" w:eastAsia="zh-CN"/>
              </w:rPr>
              <w:t>分</w:t>
            </w:r>
            <w:r>
              <w:rPr>
                <w:rFonts w:hint="eastAsia" w:ascii="宋体" w:hAnsi="宋体" w:eastAsia="宋体" w:cs="宋体"/>
                <w:bCs/>
                <w:sz w:val="24"/>
                <w:szCs w:val="24"/>
                <w:highlight w:val="none"/>
              </w:rPr>
              <w:t>法。</w:t>
            </w:r>
            <w:r>
              <w:rPr>
                <w:rFonts w:hint="eastAsia" w:ascii="宋体" w:hAnsi="宋体" w:eastAsia="宋体" w:cs="宋体"/>
                <w:spacing w:val="-2"/>
                <w:sz w:val="24"/>
                <w:szCs w:val="24"/>
                <w:highlight w:val="none"/>
              </w:rPr>
              <w:t>评标委员会对满足招标文件实质性要求的投标文件，按照本章第2.2款规定的评分标准进行打分，并按综合得分由高到低顺序推荐中标候选人。综合评分相等时，评标委员会依次按照以下优先顺序推荐中标候选人：</w:t>
            </w:r>
          </w:p>
          <w:p>
            <w:pPr>
              <w:spacing w:line="360" w:lineRule="exact"/>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（1）评标价低的投标人优先；</w:t>
            </w:r>
          </w:p>
          <w:p>
            <w:pPr>
              <w:spacing w:line="360" w:lineRule="exact"/>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（2）</w:t>
            </w:r>
            <w:r>
              <w:rPr>
                <w:rFonts w:hint="eastAsia" w:ascii="宋体" w:hAnsi="宋体" w:eastAsia="宋体" w:cs="宋体"/>
                <w:kern w:val="0"/>
                <w:sz w:val="24"/>
                <w:szCs w:val="24"/>
                <w:lang w:eastAsia="zh-CN"/>
              </w:rPr>
              <w:t>服务建议书</w:t>
            </w:r>
            <w:r>
              <w:rPr>
                <w:rFonts w:hint="eastAsia" w:ascii="宋体" w:hAnsi="宋体" w:eastAsia="宋体" w:cs="宋体"/>
                <w:spacing w:val="-2"/>
                <w:sz w:val="24"/>
                <w:szCs w:val="24"/>
                <w:highlight w:val="none"/>
                <w:lang w:val="en-US" w:eastAsia="zh-CN"/>
              </w:rPr>
              <w:t>部分</w:t>
            </w:r>
            <w:r>
              <w:rPr>
                <w:rFonts w:hint="eastAsia" w:ascii="宋体" w:hAnsi="宋体" w:eastAsia="宋体" w:cs="宋体"/>
                <w:spacing w:val="-2"/>
                <w:sz w:val="24"/>
                <w:szCs w:val="24"/>
                <w:highlight w:val="none"/>
              </w:rPr>
              <w:t>得分较高的投标人优先；</w:t>
            </w:r>
          </w:p>
          <w:p>
            <w:pPr>
              <w:spacing w:line="360" w:lineRule="exact"/>
              <w:ind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（3）投标人满足资格审查条件(业绩最低条件)要求的业绩合同总金额较多的优先。</w:t>
            </w:r>
          </w:p>
          <w:p>
            <w:pPr>
              <w:spacing w:line="3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电子评标原则：本项目采用电子评标，评标委员会以电子投标文件评审为准。如因投标人原因造成的其电子投标文件不能评审，则不能通过初步评审。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105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2.1.1</w:t>
            </w:r>
          </w:p>
          <w:p>
            <w:pPr>
              <w:jc w:val="center"/>
              <w:rPr>
                <w:rFonts w:hint="eastAsia" w:ascii="宋体" w:hAnsi="宋体" w:eastAsia="宋体" w:cs="宋体"/>
                <w:sz w:val="24"/>
                <w:szCs w:val="24"/>
              </w:rPr>
            </w:pPr>
            <w:r>
              <w:rPr>
                <w:rFonts w:hint="eastAsia" w:ascii="宋体" w:hAnsi="宋体" w:eastAsia="宋体" w:cs="宋体"/>
                <w:sz w:val="24"/>
                <w:szCs w:val="24"/>
              </w:rPr>
              <w:t>2.1.3</w:t>
            </w:r>
          </w:p>
        </w:tc>
        <w:tc>
          <w:tcPr>
            <w:tcW w:w="96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形式评审与响应性评审标准</w:t>
            </w:r>
          </w:p>
        </w:tc>
        <w:tc>
          <w:tcPr>
            <w:tcW w:w="7707" w:type="dxa"/>
            <w:gridSpan w:val="2"/>
            <w:noWrap w:val="0"/>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一、第一个信封评审标准：</w:t>
            </w:r>
          </w:p>
          <w:p>
            <w:pPr>
              <w:spacing w:line="360" w:lineRule="exact"/>
              <w:rPr>
                <w:rFonts w:hint="eastAsia" w:ascii="宋体" w:hAnsi="宋体" w:eastAsia="宋体" w:cs="宋体"/>
                <w:b/>
                <w:sz w:val="24"/>
                <w:szCs w:val="24"/>
              </w:rPr>
            </w:pPr>
            <w:r>
              <w:rPr>
                <w:rFonts w:hint="eastAsia" w:ascii="宋体" w:hAnsi="宋体" w:eastAsia="宋体" w:cs="宋体"/>
                <w:b/>
                <w:sz w:val="24"/>
                <w:szCs w:val="24"/>
              </w:rPr>
              <w:t>（1）投标文件由投标人使用“惠招标电子招投标</w:t>
            </w:r>
            <w:r>
              <w:rPr>
                <w:rFonts w:hint="eastAsia" w:ascii="宋体" w:hAnsi="宋体" w:eastAsia="宋体" w:cs="宋体"/>
                <w:b/>
                <w:sz w:val="24"/>
                <w:szCs w:val="24"/>
                <w:lang w:val="en-US" w:eastAsia="zh-CN"/>
              </w:rPr>
              <w:t>交易</w:t>
            </w:r>
            <w:r>
              <w:rPr>
                <w:rFonts w:hint="eastAsia" w:ascii="宋体" w:hAnsi="宋体" w:eastAsia="宋体" w:cs="宋体"/>
                <w:b/>
                <w:sz w:val="24"/>
                <w:szCs w:val="24"/>
              </w:rPr>
              <w:t>平台”自带的“投标文件制作工具”制作生成，投标文件制作完成后，投标人应使用河北CA数字证书进行“导出”操作，形成加密的投标文件。</w:t>
            </w:r>
          </w:p>
          <w:p>
            <w:pPr>
              <w:spacing w:line="360" w:lineRule="exact"/>
              <w:rPr>
                <w:rFonts w:hint="eastAsia" w:ascii="宋体" w:hAnsi="宋体" w:eastAsia="宋体" w:cs="宋体"/>
                <w:b/>
                <w:sz w:val="24"/>
                <w:szCs w:val="24"/>
              </w:rPr>
            </w:pPr>
            <w:r>
              <w:rPr>
                <w:rFonts w:hint="eastAsia" w:ascii="宋体" w:hAnsi="宋体" w:eastAsia="宋体" w:cs="宋体"/>
                <w:b/>
                <w:sz w:val="24"/>
                <w:szCs w:val="24"/>
              </w:rPr>
              <w:t>（2）投标人应在电子投标文件封面使用河北CA数字证书加盖投标人的单位电子印章，封面盖章即视为全本投标文件中投标人已在指定位置盖章、法定代表人或其委托代理人已在指定位置签字。</w:t>
            </w:r>
          </w:p>
          <w:p>
            <w:pPr>
              <w:tabs>
                <w:tab w:val="left" w:pos="3060"/>
              </w:tabs>
              <w:snapToGrid w:val="0"/>
              <w:spacing w:line="320" w:lineRule="exact"/>
              <w:ind w:firstLine="240" w:firstLineChars="100"/>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）投标文件按照招标文件规定的格式、内容填写，字迹清晰可辨：</w:t>
            </w:r>
          </w:p>
          <w:p>
            <w:pPr>
              <w:tabs>
                <w:tab w:val="left" w:pos="3060"/>
              </w:tabs>
              <w:snapToGrid w:val="0"/>
              <w:spacing w:line="320" w:lineRule="exact"/>
              <w:ind w:firstLine="240" w:firstLineChars="100"/>
              <w:rPr>
                <w:rFonts w:hint="eastAsia" w:ascii="宋体" w:hAnsi="宋体" w:eastAsia="宋体" w:cs="宋体"/>
                <w:bCs/>
                <w:sz w:val="24"/>
                <w:szCs w:val="24"/>
              </w:rPr>
            </w:pPr>
            <w:r>
              <w:rPr>
                <w:rFonts w:hint="eastAsia" w:ascii="宋体" w:hAnsi="宋体" w:eastAsia="宋体" w:cs="宋体"/>
                <w:bCs/>
                <w:sz w:val="24"/>
                <w:szCs w:val="24"/>
              </w:rPr>
              <w:t>a.投标函按招标文件规定填报了项目名称、服务期限、质量要求及项目负责人信息；</w:t>
            </w:r>
          </w:p>
          <w:p>
            <w:pPr>
              <w:tabs>
                <w:tab w:val="left" w:pos="3060"/>
              </w:tabs>
              <w:snapToGrid w:val="0"/>
              <w:spacing w:line="320" w:lineRule="exact"/>
              <w:ind w:firstLine="240" w:firstLineChars="100"/>
              <w:rPr>
                <w:rFonts w:hint="eastAsia" w:ascii="宋体" w:hAnsi="宋体" w:eastAsia="宋体" w:cs="宋体"/>
                <w:bCs/>
                <w:sz w:val="24"/>
                <w:szCs w:val="24"/>
              </w:rPr>
            </w:pPr>
            <w:r>
              <w:rPr>
                <w:rFonts w:hint="eastAsia" w:ascii="宋体" w:hAnsi="宋体" w:eastAsia="宋体" w:cs="宋体"/>
                <w:bCs/>
                <w:sz w:val="24"/>
                <w:szCs w:val="24"/>
              </w:rPr>
              <w:t>b.投标函附录的所有数据均符合招标文件规定；</w:t>
            </w:r>
          </w:p>
          <w:p>
            <w:pPr>
              <w:tabs>
                <w:tab w:val="left" w:pos="3060"/>
              </w:tabs>
              <w:snapToGrid w:val="0"/>
              <w:spacing w:line="320" w:lineRule="exact"/>
              <w:ind w:firstLine="240" w:firstLineChars="100"/>
              <w:rPr>
                <w:rFonts w:hint="eastAsia" w:ascii="宋体" w:hAnsi="宋体" w:eastAsia="宋体" w:cs="宋体"/>
                <w:bCs/>
                <w:sz w:val="24"/>
                <w:szCs w:val="24"/>
              </w:rPr>
            </w:pPr>
            <w:r>
              <w:rPr>
                <w:rFonts w:hint="eastAsia" w:ascii="宋体" w:hAnsi="宋体" w:eastAsia="宋体" w:cs="宋体"/>
                <w:bCs/>
                <w:sz w:val="24"/>
                <w:szCs w:val="24"/>
              </w:rPr>
              <w:t>c.投标文件组成齐全完整，内容均按规定填写。</w:t>
            </w:r>
          </w:p>
          <w:p>
            <w:pPr>
              <w:tabs>
                <w:tab w:val="left" w:pos="3060"/>
              </w:tabs>
              <w:snapToGrid w:val="0"/>
              <w:spacing w:line="320" w:lineRule="exact"/>
              <w:ind w:firstLine="240" w:firstLineChars="100"/>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）投标文件上法定代表人或其授权代理人的签字、投标人的单位章盖章齐全，符合招标文件规定。</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）投标人按照招标文件的规定提供了投标保证金：</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a.投标保证金金额符合招标文件规定的金额，且投标保证金有效期不少于投标有效期；</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b.若投标保证金采用电汇或转账形式提交，投标人应在递交投标文件截止时间之前，将投标保证金由投标人的基本账户转入招标人指定账户；</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c.若投标保证金采用银行保函形式提交，银行保函的格式、开具保函的银行均满足招标文件要求，且在递交投标文件截止时间之前向招标人提交了银行保函原件。</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）投标人法定代表人授权委托代理人签署投标文件的，须提交授权委托书，授权委托书的签字盖章符合招标文件规定，授权委托书只能授权给一名委托代理人。</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）投标人法定代表人亲自签署投标文件的，提供了法定代表人身份证明，法定代表人身份证明的签字盖章符合招标文件规定。</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）投标人未以联合体形式投标。</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）投标人未对本项目提出分包计划。</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）同一投标人未提交两个以上不同的投标文件。</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）投标文件第一信封中未出现有关投标报价的内容。</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）投标文件载明的招标项目完成期限未超过招标文件规定的时限。</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）投标文件对招标文件的实质性要求和条件作出响应。</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）权利义务符合招标文件规定：</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a.投标人应接受招标文件规定的风险划分原则，未提出新的风险划分办法；</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b.投标人未增加招标人的责任范围，或减少投标人义务；</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c.投标人未提出不同的支付办法；</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d.投标人对合同纠纷、事故处理办法未提出异议；</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e.投标人在投标活动中无欺诈行为；</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f.投标人未对合同条款有重要保留。</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)投标人名称与营业执照、基本账户开户许可证（或基本存款账户信息）一致，如企业名称有变更的，应提供其变更记录或相关部门的合法批件复印件。</w:t>
            </w:r>
          </w:p>
          <w:p>
            <w:pPr>
              <w:ind w:firstLine="239" w:firstLineChars="99"/>
              <w:rPr>
                <w:rFonts w:hint="eastAsia" w:ascii="宋体" w:hAnsi="宋体" w:eastAsia="宋体" w:cs="宋体"/>
                <w:sz w:val="24"/>
                <w:szCs w:val="24"/>
              </w:rPr>
            </w:pPr>
            <w:r>
              <w:rPr>
                <w:rFonts w:hint="eastAsia" w:ascii="宋体" w:hAnsi="宋体" w:eastAsia="宋体" w:cs="宋体"/>
                <w:b/>
                <w:sz w:val="24"/>
                <w:szCs w:val="24"/>
              </w:rPr>
              <w:t>投标文件不符合以上条件之一的，应认为其存有重大偏差，并否决其投标。</w:t>
            </w:r>
          </w:p>
          <w:p>
            <w:pPr>
              <w:tabs>
                <w:tab w:val="left" w:pos="3060"/>
              </w:tabs>
              <w:snapToGrid w:val="0"/>
              <w:spacing w:line="320" w:lineRule="exact"/>
              <w:rPr>
                <w:rFonts w:hint="eastAsia" w:ascii="宋体" w:hAnsi="宋体" w:eastAsia="宋体" w:cs="宋体"/>
                <w:b/>
                <w:sz w:val="24"/>
                <w:szCs w:val="24"/>
              </w:rPr>
            </w:pPr>
            <w:r>
              <w:rPr>
                <w:rFonts w:hint="eastAsia" w:ascii="宋体" w:hAnsi="宋体" w:eastAsia="宋体" w:cs="宋体"/>
                <w:b/>
                <w:sz w:val="24"/>
                <w:szCs w:val="24"/>
              </w:rPr>
              <w:t>第二个信封（报价文件）评审标准：</w:t>
            </w:r>
          </w:p>
          <w:p>
            <w:pPr>
              <w:tabs>
                <w:tab w:val="left" w:pos="3060"/>
              </w:tabs>
              <w:spacing w:line="320" w:lineRule="exact"/>
              <w:ind w:firstLine="236" w:firstLineChars="98"/>
              <w:rPr>
                <w:rFonts w:hint="eastAsia" w:ascii="宋体" w:hAnsi="宋体" w:eastAsia="宋体" w:cs="宋体"/>
                <w:kern w:val="28"/>
                <w:sz w:val="24"/>
                <w:szCs w:val="24"/>
              </w:rPr>
            </w:pPr>
            <w:r>
              <w:rPr>
                <w:rFonts w:hint="eastAsia" w:ascii="宋体" w:hAnsi="宋体" w:eastAsia="宋体" w:cs="宋体"/>
                <w:b/>
                <w:sz w:val="24"/>
                <w:szCs w:val="24"/>
              </w:rPr>
              <w:t>（1）投标文件由投标人使用“惠招标电子招投标交易平台”自带的“投标文件制作工具”制作生成，投标文件制作完成后，投标人应使用河北CA数字证书进行“导出”操作，形成加密的投标文件；</w:t>
            </w:r>
          </w:p>
          <w:p>
            <w:pPr>
              <w:tabs>
                <w:tab w:val="left" w:pos="3060"/>
              </w:tabs>
              <w:spacing w:line="320" w:lineRule="exact"/>
              <w:ind w:firstLine="241" w:firstLineChars="100"/>
              <w:rPr>
                <w:rFonts w:hint="eastAsia" w:ascii="宋体" w:hAnsi="宋体" w:eastAsia="宋体" w:cs="宋体"/>
                <w:sz w:val="24"/>
                <w:szCs w:val="24"/>
              </w:rPr>
            </w:pPr>
            <w:r>
              <w:rPr>
                <w:rFonts w:hint="eastAsia" w:ascii="宋体" w:hAnsi="宋体" w:eastAsia="宋体" w:cs="宋体"/>
                <w:b/>
                <w:sz w:val="24"/>
                <w:szCs w:val="24"/>
              </w:rPr>
              <w:t>（2）投标人应在电子投标文件封面使用河北CA数字证书加盖投标人的单位电子印章，封面盖章即视为全本投标文件中投标人已在指定位置盖章、法定代表人或其委托代理人已在指定位置签字。</w:t>
            </w:r>
          </w:p>
          <w:p>
            <w:pPr>
              <w:tabs>
                <w:tab w:val="left" w:pos="3060"/>
              </w:tabs>
              <w:snapToGrid w:val="0"/>
              <w:spacing w:line="320" w:lineRule="exact"/>
              <w:ind w:firstLine="235" w:firstLineChars="98"/>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）投标文件按照招标文件规定的格式、内容填写，字迹清晰可辨：</w:t>
            </w:r>
          </w:p>
          <w:p>
            <w:pPr>
              <w:tabs>
                <w:tab w:val="left" w:pos="3060"/>
              </w:tabs>
              <w:snapToGrid w:val="0"/>
              <w:spacing w:line="320" w:lineRule="exact"/>
              <w:ind w:firstLine="235" w:firstLineChars="98"/>
              <w:rPr>
                <w:rFonts w:hint="eastAsia" w:ascii="宋体" w:hAnsi="宋体" w:eastAsia="宋体" w:cs="宋体"/>
                <w:bCs/>
                <w:sz w:val="24"/>
                <w:szCs w:val="24"/>
              </w:rPr>
            </w:pPr>
            <w:r>
              <w:rPr>
                <w:rFonts w:hint="eastAsia" w:ascii="宋体" w:hAnsi="宋体" w:eastAsia="宋体" w:cs="宋体"/>
                <w:bCs/>
                <w:sz w:val="24"/>
                <w:szCs w:val="24"/>
              </w:rPr>
              <w:t>a.投标函按招标文件规定填报了项目名称、投标价（包括大写金额和小写金额）；</w:t>
            </w:r>
          </w:p>
          <w:p>
            <w:pPr>
              <w:tabs>
                <w:tab w:val="left" w:pos="3060"/>
              </w:tabs>
              <w:snapToGrid w:val="0"/>
              <w:spacing w:line="320" w:lineRule="exact"/>
              <w:ind w:firstLine="235" w:firstLineChars="98"/>
              <w:rPr>
                <w:rFonts w:hint="eastAsia" w:ascii="宋体" w:hAnsi="宋体" w:eastAsia="宋体" w:cs="宋体"/>
                <w:bCs/>
                <w:sz w:val="24"/>
                <w:szCs w:val="24"/>
              </w:rPr>
            </w:pPr>
            <w:r>
              <w:rPr>
                <w:rFonts w:hint="eastAsia" w:ascii="宋体" w:hAnsi="宋体" w:eastAsia="宋体" w:cs="宋体"/>
                <w:bCs/>
                <w:sz w:val="24"/>
                <w:szCs w:val="24"/>
              </w:rPr>
              <w:t>b．投标文件组成齐全完整，内容均按规定填写。</w:t>
            </w:r>
          </w:p>
          <w:p>
            <w:pPr>
              <w:tabs>
                <w:tab w:val="left" w:pos="3060"/>
              </w:tabs>
              <w:snapToGrid w:val="0"/>
              <w:spacing w:line="320" w:lineRule="exact"/>
              <w:ind w:firstLine="240" w:firstLineChars="100"/>
              <w:rPr>
                <w:rFonts w:hint="eastAsia"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）投标文件上法定代表人或其授权代理人的签字、投标人的单位章盖章齐全，符合招标文件规定。</w:t>
            </w:r>
          </w:p>
          <w:p>
            <w:pPr>
              <w:tabs>
                <w:tab w:val="left" w:pos="3060"/>
              </w:tabs>
              <w:snapToGrid w:val="0"/>
              <w:spacing w:line="32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）投标函中的报价未超过招标文件设定的最高投标限价。</w:t>
            </w:r>
          </w:p>
          <w:p>
            <w:pPr>
              <w:tabs>
                <w:tab w:val="left" w:pos="3060"/>
              </w:tabs>
              <w:snapToGrid w:val="0"/>
              <w:spacing w:line="32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）投标函中报价的大写金额能够确定具体数值。</w:t>
            </w:r>
          </w:p>
          <w:p>
            <w:pPr>
              <w:tabs>
                <w:tab w:val="left" w:pos="3060"/>
              </w:tabs>
              <w:snapToGrid w:val="0"/>
              <w:spacing w:line="320" w:lineRule="exact"/>
              <w:ind w:firstLine="120" w:firstLineChars="5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）同一投标人未提交两个以上不同的投标报价。</w:t>
            </w:r>
          </w:p>
          <w:p>
            <w:pPr>
              <w:ind w:firstLine="237" w:firstLineChars="99"/>
              <w:rPr>
                <w:rFonts w:hint="eastAsia" w:ascii="宋体" w:hAnsi="宋体" w:eastAsia="宋体" w:cs="宋体"/>
                <w:sz w:val="24"/>
                <w:szCs w:val="24"/>
              </w:rPr>
            </w:pPr>
            <w:r>
              <w:rPr>
                <w:rFonts w:hint="eastAsia" w:ascii="宋体" w:hAnsi="宋体" w:eastAsia="宋体" w:cs="宋体"/>
                <w:sz w:val="24"/>
                <w:szCs w:val="24"/>
              </w:rPr>
              <w:t>（6）报价清单中的投标报价与投标函大写金额一致。</w:t>
            </w:r>
          </w:p>
          <w:p>
            <w:pPr>
              <w:snapToGrid w:val="0"/>
              <w:rPr>
                <w:rFonts w:hint="eastAsia" w:ascii="宋体" w:hAnsi="宋体" w:eastAsia="宋体" w:cs="宋体"/>
                <w:sz w:val="24"/>
                <w:szCs w:val="24"/>
              </w:rPr>
            </w:pPr>
            <w:r>
              <w:rPr>
                <w:rFonts w:hint="eastAsia" w:ascii="宋体" w:hAnsi="宋体" w:eastAsia="宋体" w:cs="宋体"/>
                <w:b/>
                <w:sz w:val="24"/>
                <w:szCs w:val="24"/>
              </w:rPr>
              <w:t>投标文件不符合以上条件之一的，应认为其存有重大偏差，并否决其投标。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6" w:type="dxa"/>
            <w:noWrap w:val="0"/>
            <w:vAlign w:val="center"/>
          </w:tcPr>
          <w:p>
            <w:pPr>
              <w:jc w:val="center"/>
              <w:rPr>
                <w:rFonts w:hint="eastAsia" w:ascii="宋体" w:hAnsi="宋体" w:eastAsia="宋体" w:cs="宋体"/>
                <w:sz w:val="24"/>
                <w:szCs w:val="24"/>
                <w:u w:val="single"/>
              </w:rPr>
            </w:pPr>
            <w:r>
              <w:rPr>
                <w:rFonts w:hint="eastAsia" w:ascii="宋体" w:hAnsi="宋体" w:eastAsia="宋体" w:cs="宋体"/>
                <w:sz w:val="24"/>
                <w:szCs w:val="24"/>
              </w:rPr>
              <w:t>2.1.2</w:t>
            </w:r>
          </w:p>
        </w:tc>
        <w:tc>
          <w:tcPr>
            <w:tcW w:w="96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资格评审标准</w:t>
            </w:r>
          </w:p>
        </w:tc>
        <w:tc>
          <w:tcPr>
            <w:tcW w:w="7707" w:type="dxa"/>
            <w:gridSpan w:val="2"/>
            <w:noWrap w:val="0"/>
            <w:vAlign w:val="center"/>
          </w:tcPr>
          <w:p>
            <w:pPr>
              <w:spacing w:line="340" w:lineRule="exact"/>
              <w:rPr>
                <w:rFonts w:hint="eastAsia" w:ascii="宋体" w:hAnsi="宋体" w:eastAsia="宋体" w:cs="宋体"/>
                <w:sz w:val="24"/>
                <w:szCs w:val="24"/>
              </w:rPr>
            </w:pPr>
            <w:r>
              <w:rPr>
                <w:rFonts w:hint="eastAsia" w:ascii="宋体" w:hAnsi="宋体" w:eastAsia="宋体" w:cs="宋体"/>
                <w:sz w:val="24"/>
                <w:szCs w:val="24"/>
              </w:rPr>
              <w:t>(1) 投标人具备有效的营业执照</w:t>
            </w:r>
            <w:r>
              <w:rPr>
                <w:rFonts w:hint="eastAsia" w:ascii="宋体" w:hAnsi="宋体" w:eastAsia="宋体" w:cs="宋体"/>
                <w:sz w:val="24"/>
                <w:szCs w:val="24"/>
                <w:lang w:eastAsia="zh-CN"/>
              </w:rPr>
              <w:t>、税务师事务所执业证书</w:t>
            </w:r>
            <w:r>
              <w:rPr>
                <w:rFonts w:hint="eastAsia" w:ascii="宋体" w:hAnsi="宋体" w:eastAsia="宋体" w:cs="宋体"/>
                <w:sz w:val="24"/>
                <w:szCs w:val="24"/>
              </w:rPr>
              <w:t>和基本账户开户许可证（或基本存款账户信息）；</w:t>
            </w:r>
          </w:p>
          <w:p>
            <w:pPr>
              <w:spacing w:line="340" w:lineRule="exact"/>
              <w:rPr>
                <w:rFonts w:hint="eastAsia" w:ascii="宋体" w:hAnsi="宋体" w:eastAsia="宋体" w:cs="宋体"/>
                <w:sz w:val="24"/>
                <w:szCs w:val="24"/>
              </w:rPr>
            </w:pPr>
            <w:r>
              <w:rPr>
                <w:rFonts w:hint="eastAsia" w:ascii="宋体" w:hAnsi="宋体" w:eastAsia="宋体" w:cs="宋体"/>
                <w:sz w:val="24"/>
                <w:szCs w:val="24"/>
              </w:rPr>
              <w:t>(2) 投标人的</w:t>
            </w:r>
            <w:r>
              <w:rPr>
                <w:rFonts w:hint="eastAsia" w:ascii="宋体" w:hAnsi="宋体" w:eastAsia="宋体" w:cs="宋体"/>
                <w:sz w:val="24"/>
                <w:szCs w:val="24"/>
                <w:lang w:val="en-US" w:eastAsia="zh-CN"/>
              </w:rPr>
              <w:t>项目业绩</w:t>
            </w:r>
            <w:r>
              <w:rPr>
                <w:rFonts w:hint="eastAsia" w:ascii="宋体" w:hAnsi="宋体" w:eastAsia="宋体" w:cs="宋体"/>
                <w:sz w:val="24"/>
                <w:szCs w:val="24"/>
              </w:rPr>
              <w:t>符合招标文件规定；</w:t>
            </w:r>
          </w:p>
          <w:p>
            <w:pPr>
              <w:spacing w:line="340" w:lineRule="exact"/>
              <w:rPr>
                <w:rFonts w:hint="eastAsia" w:ascii="宋体" w:hAnsi="宋体" w:eastAsia="宋体" w:cs="宋体"/>
                <w:sz w:val="24"/>
                <w:szCs w:val="24"/>
              </w:rPr>
            </w:pPr>
            <w:r>
              <w:rPr>
                <w:rFonts w:hint="eastAsia" w:ascii="宋体" w:hAnsi="宋体" w:eastAsia="宋体" w:cs="宋体"/>
                <w:sz w:val="24"/>
                <w:szCs w:val="24"/>
              </w:rPr>
              <w:t>(3) 投标人的信誉符合招标文件规定；</w:t>
            </w:r>
          </w:p>
          <w:p>
            <w:pPr>
              <w:spacing w:line="340" w:lineRule="exact"/>
              <w:rPr>
                <w:rFonts w:hint="eastAsia" w:ascii="宋体" w:hAnsi="宋体" w:eastAsia="宋体" w:cs="宋体"/>
                <w:sz w:val="24"/>
                <w:szCs w:val="24"/>
              </w:rPr>
            </w:pPr>
            <w:r>
              <w:rPr>
                <w:rFonts w:hint="eastAsia" w:ascii="宋体" w:hAnsi="宋体" w:eastAsia="宋体" w:cs="宋体"/>
                <w:sz w:val="24"/>
                <w:szCs w:val="24"/>
              </w:rPr>
              <w:t>(4) 投标人的</w:t>
            </w:r>
            <w:r>
              <w:rPr>
                <w:rFonts w:hint="eastAsia" w:ascii="宋体" w:hAnsi="宋体" w:eastAsia="宋体" w:cs="宋体"/>
                <w:kern w:val="0"/>
                <w:sz w:val="24"/>
                <w:szCs w:val="24"/>
              </w:rPr>
              <w:t>项目负责人</w:t>
            </w:r>
            <w:r>
              <w:rPr>
                <w:rFonts w:hint="eastAsia" w:ascii="宋体" w:hAnsi="宋体" w:eastAsia="宋体" w:cs="宋体"/>
                <w:sz w:val="24"/>
                <w:szCs w:val="24"/>
              </w:rPr>
              <w:t>资格符合招标文件规定；</w:t>
            </w:r>
          </w:p>
          <w:p>
            <w:pPr>
              <w:spacing w:line="340" w:lineRule="exact"/>
              <w:rPr>
                <w:rFonts w:hint="eastAsia" w:ascii="宋体" w:hAnsi="宋体" w:eastAsia="宋体" w:cs="宋体"/>
                <w:spacing w:val="-2"/>
                <w:sz w:val="24"/>
                <w:szCs w:val="24"/>
              </w:rPr>
            </w:pPr>
            <w:r>
              <w:rPr>
                <w:rFonts w:hint="eastAsia" w:ascii="宋体" w:hAnsi="宋体" w:eastAsia="宋体" w:cs="宋体"/>
                <w:sz w:val="24"/>
                <w:szCs w:val="24"/>
              </w:rPr>
              <w:t xml:space="preserve">(5) </w:t>
            </w:r>
            <w:r>
              <w:rPr>
                <w:rFonts w:hint="eastAsia" w:ascii="宋体" w:hAnsi="宋体" w:eastAsia="宋体" w:cs="宋体"/>
                <w:spacing w:val="-6"/>
                <w:sz w:val="24"/>
                <w:szCs w:val="24"/>
              </w:rPr>
              <w:t>投标人不存在第二章“投标人须知”第1.4.3项规定的任何一种情形。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5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2.2.1</w:t>
            </w:r>
          </w:p>
        </w:tc>
        <w:tc>
          <w:tcPr>
            <w:tcW w:w="967" w:type="dxa"/>
            <w:noWrap w:val="0"/>
            <w:vAlign w:val="center"/>
          </w:tcPr>
          <w:p>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p>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（总分100分）</w:t>
            </w:r>
          </w:p>
        </w:tc>
        <w:tc>
          <w:tcPr>
            <w:tcW w:w="7707" w:type="dxa"/>
            <w:gridSpan w:val="2"/>
            <w:noWrap w:val="0"/>
            <w:vAlign w:val="center"/>
          </w:tcPr>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服务建议书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w:t>
            </w:r>
          </w:p>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（2）拟投入本项目的人员资格和能力：</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p>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（3）投标人与本项目相关的具体业绩</w:t>
            </w:r>
            <w:r>
              <w:rPr>
                <w:rFonts w:hint="eastAsia" w:ascii="宋体" w:hAnsi="宋体" w:eastAsia="宋体" w:cs="宋体"/>
                <w:sz w:val="24"/>
                <w:szCs w:val="24"/>
                <w:highlight w:val="none"/>
                <w:lang w:val="en-US" w:eastAsia="zh-CN"/>
              </w:rPr>
              <w:t>及企业信誉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p>
          <w:p>
            <w:pPr>
              <w:spacing w:line="3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（4）评标价：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2.2.2</w:t>
            </w:r>
          </w:p>
        </w:tc>
        <w:tc>
          <w:tcPr>
            <w:tcW w:w="967" w:type="dxa"/>
            <w:noWrap w:val="0"/>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评标基准价计算方法</w:t>
            </w:r>
          </w:p>
        </w:tc>
        <w:tc>
          <w:tcPr>
            <w:tcW w:w="7707" w:type="dxa"/>
            <w:gridSpan w:val="2"/>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评标基准价的计算：</w:t>
            </w:r>
          </w:p>
          <w:p>
            <w:pPr>
              <w:spacing w:line="320" w:lineRule="exact"/>
              <w:ind w:left="210"/>
              <w:rPr>
                <w:rFonts w:hint="eastAsia" w:ascii="宋体" w:hAnsi="宋体" w:eastAsia="宋体" w:cs="宋体"/>
                <w:sz w:val="24"/>
                <w:szCs w:val="24"/>
              </w:rPr>
            </w:pPr>
            <w:r>
              <w:rPr>
                <w:rFonts w:hint="eastAsia" w:ascii="宋体" w:hAnsi="宋体" w:eastAsia="宋体" w:cs="宋体"/>
                <w:sz w:val="24"/>
                <w:szCs w:val="24"/>
              </w:rPr>
              <w:t xml:space="preserve">（1）评标价的确定：  </w:t>
            </w:r>
          </w:p>
          <w:p>
            <w:pPr>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评标价=财务建议书文字报价  </w:t>
            </w:r>
          </w:p>
          <w:p>
            <w:pPr>
              <w:spacing w:line="32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（2）评标基准价：  </w:t>
            </w:r>
          </w:p>
          <w:p>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通过第一信封（商务及技术文件）评审和第二信封（报价清单）初步评审及算术性修正后投标人投标价，并去掉规定个数的最高值和最低值后的算术平均值作为评标基准价：</w:t>
            </w:r>
          </w:p>
          <w:p>
            <w:pPr>
              <w:spacing w:line="320" w:lineRule="exact"/>
              <w:ind w:left="20" w:firstLine="456" w:firstLineChars="190"/>
              <w:rPr>
                <w:rFonts w:hint="eastAsia" w:ascii="宋体" w:hAnsi="宋体" w:eastAsia="宋体" w:cs="宋体"/>
                <w:sz w:val="24"/>
                <w:szCs w:val="24"/>
              </w:rPr>
            </w:pPr>
            <w:r>
              <w:rPr>
                <w:rFonts w:hint="eastAsia" w:ascii="宋体" w:hAnsi="宋体" w:eastAsia="宋体" w:cs="宋体"/>
                <w:sz w:val="24"/>
                <w:szCs w:val="24"/>
              </w:rPr>
              <w:t>a.如果参与评标基准价计算的投标人少于5家时，则计算评标价平均值时不去掉最高值和最低值)；</w:t>
            </w:r>
          </w:p>
          <w:p>
            <w:pPr>
              <w:spacing w:line="320" w:lineRule="exact"/>
              <w:ind w:left="20" w:firstLine="456" w:firstLineChars="190"/>
              <w:rPr>
                <w:rFonts w:hint="eastAsia" w:ascii="宋体" w:hAnsi="宋体" w:eastAsia="宋体" w:cs="宋体"/>
                <w:strike/>
                <w:color w:val="FF0000"/>
                <w:sz w:val="24"/>
                <w:szCs w:val="24"/>
              </w:rPr>
            </w:pPr>
            <w:r>
              <w:rPr>
                <w:rFonts w:hint="eastAsia" w:ascii="宋体" w:hAnsi="宋体" w:eastAsia="宋体" w:cs="宋体"/>
                <w:sz w:val="24"/>
                <w:szCs w:val="24"/>
              </w:rPr>
              <w:t>b.如果参与评标基准价计算的有效投标人数量≥5家时，计算评标价平均值时去掉1个最高值和1个最低值。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6"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2.2.3</w:t>
            </w:r>
          </w:p>
        </w:tc>
        <w:tc>
          <w:tcPr>
            <w:tcW w:w="967" w:type="dxa"/>
            <w:noWrap w:val="0"/>
            <w:vAlign w:val="center"/>
          </w:tcPr>
          <w:p>
            <w:pPr>
              <w:spacing w:line="225" w:lineRule="exact"/>
              <w:jc w:val="center"/>
              <w:rPr>
                <w:rFonts w:hint="eastAsia" w:ascii="宋体" w:hAnsi="宋体" w:eastAsia="宋体" w:cs="宋体"/>
                <w:sz w:val="24"/>
                <w:szCs w:val="24"/>
              </w:rPr>
            </w:pPr>
            <w:r>
              <w:rPr>
                <w:rFonts w:hint="eastAsia" w:ascii="宋体" w:hAnsi="宋体" w:eastAsia="宋体" w:cs="宋体"/>
                <w:sz w:val="24"/>
                <w:szCs w:val="24"/>
              </w:rPr>
              <w:t>评标价的偏差率计算公式</w:t>
            </w:r>
          </w:p>
        </w:tc>
        <w:tc>
          <w:tcPr>
            <w:tcW w:w="770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056" w:type="dxa"/>
            <w:vMerge w:val="restart"/>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2.2.4(1)</w:t>
            </w:r>
          </w:p>
        </w:tc>
        <w:tc>
          <w:tcPr>
            <w:tcW w:w="967" w:type="dxa"/>
            <w:vMerge w:val="restart"/>
            <w:noWrap w:val="0"/>
            <w:vAlign w:val="center"/>
          </w:tcPr>
          <w:p>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服务建议书</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40</w:t>
            </w:r>
            <w:r>
              <w:rPr>
                <w:rFonts w:hint="eastAsia" w:ascii="宋体" w:hAnsi="宋体" w:eastAsia="宋体" w:cs="宋体"/>
                <w:kern w:val="0"/>
                <w:sz w:val="24"/>
                <w:szCs w:val="24"/>
              </w:rPr>
              <w:t>分）</w:t>
            </w:r>
          </w:p>
          <w:p>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zh-CN"/>
              </w:rPr>
              <w:t>服务建议书</w:t>
            </w:r>
            <w:r>
              <w:rPr>
                <w:rFonts w:hint="eastAsia" w:ascii="宋体" w:hAnsi="宋体" w:eastAsia="宋体" w:cs="宋体"/>
                <w:kern w:val="0"/>
                <w:sz w:val="24"/>
                <w:szCs w:val="24"/>
              </w:rPr>
              <w:t>各分项缺项则对应分项得0分）</w:t>
            </w:r>
          </w:p>
        </w:tc>
        <w:tc>
          <w:tcPr>
            <w:tcW w:w="1741" w:type="dxa"/>
            <w:noWrap w:val="0"/>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总体工作思路及服务方案</w:t>
            </w:r>
          </w:p>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5分）</w:t>
            </w:r>
          </w:p>
        </w:tc>
        <w:tc>
          <w:tcPr>
            <w:tcW w:w="5966"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根据项目的服务需求做出深入分析，思路清晰， 实施步骤明晰，措施完善可行，对实施过程有规范的管理。优得1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5分，中得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分，一般得1～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056" w:type="dxa"/>
            <w:vMerge w:val="continue"/>
            <w:noWrap w:val="0"/>
            <w:vAlign w:val="center"/>
          </w:tcPr>
          <w:p>
            <w:pPr>
              <w:spacing w:line="300" w:lineRule="exact"/>
              <w:jc w:val="center"/>
              <w:rPr>
                <w:rFonts w:hint="eastAsia" w:ascii="宋体" w:hAnsi="宋体" w:eastAsia="宋体" w:cs="宋体"/>
                <w:kern w:val="0"/>
                <w:sz w:val="24"/>
                <w:szCs w:val="24"/>
              </w:rPr>
            </w:pPr>
          </w:p>
        </w:tc>
        <w:tc>
          <w:tcPr>
            <w:tcW w:w="967" w:type="dxa"/>
            <w:vMerge w:val="continue"/>
            <w:noWrap w:val="0"/>
            <w:vAlign w:val="center"/>
          </w:tcPr>
          <w:p>
            <w:pPr>
              <w:spacing w:line="300" w:lineRule="exact"/>
              <w:jc w:val="center"/>
              <w:rPr>
                <w:rFonts w:hint="eastAsia" w:ascii="宋体" w:hAnsi="宋体" w:eastAsia="宋体" w:cs="宋体"/>
                <w:kern w:val="0"/>
                <w:sz w:val="24"/>
                <w:szCs w:val="24"/>
              </w:rPr>
            </w:pPr>
          </w:p>
        </w:tc>
        <w:tc>
          <w:tcPr>
            <w:tcW w:w="1741" w:type="dxa"/>
            <w:noWrap w:val="0"/>
            <w:vAlign w:val="center"/>
          </w:tcPr>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根据实际情况，对本项目特点的认识和理解</w:t>
            </w:r>
          </w:p>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5966" w:type="dxa"/>
            <w:noWrap w:val="0"/>
            <w:vAlign w:val="center"/>
          </w:tcPr>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对本项目特点的认识和理解，能把握其重点、难点并给出有效的处理方法。优得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分，中得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分，一般得1～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056" w:type="dxa"/>
            <w:vMerge w:val="continue"/>
            <w:noWrap w:val="0"/>
            <w:vAlign w:val="center"/>
          </w:tcPr>
          <w:p>
            <w:pPr>
              <w:spacing w:line="300" w:lineRule="exact"/>
              <w:jc w:val="center"/>
              <w:rPr>
                <w:rFonts w:hint="eastAsia" w:ascii="宋体" w:hAnsi="宋体" w:eastAsia="宋体" w:cs="宋体"/>
                <w:kern w:val="0"/>
                <w:sz w:val="24"/>
                <w:szCs w:val="24"/>
              </w:rPr>
            </w:pPr>
          </w:p>
        </w:tc>
        <w:tc>
          <w:tcPr>
            <w:tcW w:w="967" w:type="dxa"/>
            <w:vMerge w:val="continue"/>
            <w:noWrap w:val="0"/>
            <w:vAlign w:val="center"/>
          </w:tcPr>
          <w:p>
            <w:pPr>
              <w:spacing w:line="300" w:lineRule="exact"/>
              <w:jc w:val="center"/>
              <w:rPr>
                <w:rFonts w:hint="eastAsia" w:ascii="宋体" w:hAnsi="宋体" w:eastAsia="宋体" w:cs="宋体"/>
                <w:kern w:val="0"/>
                <w:sz w:val="24"/>
                <w:szCs w:val="24"/>
              </w:rPr>
            </w:pPr>
          </w:p>
        </w:tc>
        <w:tc>
          <w:tcPr>
            <w:tcW w:w="1741" w:type="dxa"/>
            <w:noWrap w:val="0"/>
            <w:vAlign w:val="center"/>
          </w:tcPr>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进度、计划安排及保证进度的承诺</w:t>
            </w:r>
          </w:p>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5966" w:type="dxa"/>
            <w:noWrap w:val="0"/>
            <w:vAlign w:val="center"/>
          </w:tcPr>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主要根据</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人具体的进度、计划安排时间及违约承诺等方面考虑。优得3.1～5分，中得2.1～3分，一般得1～2分。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056" w:type="dxa"/>
            <w:vMerge w:val="continue"/>
            <w:noWrap w:val="0"/>
            <w:vAlign w:val="center"/>
          </w:tcPr>
          <w:p>
            <w:pPr>
              <w:spacing w:line="300" w:lineRule="exact"/>
              <w:jc w:val="center"/>
              <w:rPr>
                <w:rFonts w:hint="eastAsia" w:ascii="宋体" w:hAnsi="宋体" w:eastAsia="宋体" w:cs="宋体"/>
                <w:kern w:val="0"/>
                <w:sz w:val="24"/>
                <w:szCs w:val="24"/>
              </w:rPr>
            </w:pPr>
          </w:p>
        </w:tc>
        <w:tc>
          <w:tcPr>
            <w:tcW w:w="967" w:type="dxa"/>
            <w:vMerge w:val="continue"/>
            <w:noWrap w:val="0"/>
            <w:vAlign w:val="center"/>
          </w:tcPr>
          <w:p>
            <w:pPr>
              <w:spacing w:line="300" w:lineRule="exact"/>
              <w:jc w:val="center"/>
              <w:rPr>
                <w:rFonts w:hint="eastAsia" w:ascii="宋体" w:hAnsi="宋体" w:eastAsia="宋体" w:cs="宋体"/>
                <w:kern w:val="0"/>
                <w:sz w:val="24"/>
                <w:szCs w:val="24"/>
              </w:rPr>
            </w:pPr>
          </w:p>
        </w:tc>
        <w:tc>
          <w:tcPr>
            <w:tcW w:w="1741" w:type="dxa"/>
            <w:noWrap w:val="0"/>
            <w:vAlign w:val="center"/>
          </w:tcPr>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服务质量保证措施、保密措施</w:t>
            </w:r>
          </w:p>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c>
          <w:tcPr>
            <w:tcW w:w="5966" w:type="dxa"/>
            <w:noWrap w:val="0"/>
            <w:vAlign w:val="center"/>
          </w:tcPr>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根据质量控制措施、准确度、工作时效高效、快捷及违约承诺方面考虑。优得3.1～5分，中得2.1～3分，一般得1～2分。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056" w:type="dxa"/>
            <w:vMerge w:val="continue"/>
            <w:noWrap w:val="0"/>
            <w:vAlign w:val="center"/>
          </w:tcPr>
          <w:p>
            <w:pPr>
              <w:spacing w:line="300" w:lineRule="exact"/>
              <w:jc w:val="center"/>
              <w:rPr>
                <w:rFonts w:hint="eastAsia" w:ascii="宋体" w:hAnsi="宋体" w:eastAsia="宋体" w:cs="宋体"/>
                <w:kern w:val="0"/>
                <w:sz w:val="24"/>
                <w:szCs w:val="24"/>
              </w:rPr>
            </w:pPr>
          </w:p>
        </w:tc>
        <w:tc>
          <w:tcPr>
            <w:tcW w:w="967" w:type="dxa"/>
            <w:vMerge w:val="continue"/>
            <w:noWrap w:val="0"/>
            <w:vAlign w:val="center"/>
          </w:tcPr>
          <w:p>
            <w:pPr>
              <w:spacing w:line="300" w:lineRule="exact"/>
              <w:jc w:val="center"/>
              <w:rPr>
                <w:rFonts w:hint="eastAsia" w:ascii="宋体" w:hAnsi="宋体" w:eastAsia="宋体" w:cs="宋体"/>
                <w:kern w:val="0"/>
                <w:sz w:val="24"/>
                <w:szCs w:val="24"/>
              </w:rPr>
            </w:pPr>
          </w:p>
        </w:tc>
        <w:tc>
          <w:tcPr>
            <w:tcW w:w="1741" w:type="dxa"/>
            <w:noWrap w:val="0"/>
            <w:vAlign w:val="center"/>
          </w:tcPr>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服务承诺及合同期满后后续服务承诺</w:t>
            </w:r>
          </w:p>
          <w:p>
            <w:pPr>
              <w:spacing w:line="320" w:lineRule="exact"/>
              <w:ind w:left="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（5分）</w:t>
            </w:r>
          </w:p>
        </w:tc>
        <w:tc>
          <w:tcPr>
            <w:tcW w:w="5966" w:type="dxa"/>
            <w:noWrap w:val="0"/>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根据服务承诺、服务标准详细周全合理程度。优得3.1～5分，中得2.1～3分，一般得1～2分。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56" w:type="dxa"/>
            <w:vMerge w:val="restart"/>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2.2.4(2)</w:t>
            </w:r>
          </w:p>
        </w:tc>
        <w:tc>
          <w:tcPr>
            <w:tcW w:w="967" w:type="dxa"/>
            <w:vMerge w:val="restart"/>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拟投入本项目的人员资格和能力（</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分）</w:t>
            </w:r>
          </w:p>
        </w:tc>
        <w:tc>
          <w:tcPr>
            <w:tcW w:w="1741" w:type="dxa"/>
            <w:vMerge w:val="restart"/>
            <w:noWrap w:val="0"/>
            <w:vAlign w:val="center"/>
          </w:tcPr>
          <w:p>
            <w:pPr>
              <w:spacing w:line="320" w:lineRule="exact"/>
              <w:ind w:left="20"/>
              <w:jc w:val="center"/>
              <w:rPr>
                <w:rFonts w:hint="eastAsia" w:ascii="宋体" w:hAnsi="宋体" w:eastAsia="宋体" w:cs="宋体"/>
                <w:sz w:val="24"/>
                <w:szCs w:val="24"/>
              </w:rPr>
            </w:pPr>
            <w:r>
              <w:rPr>
                <w:rFonts w:hint="eastAsia" w:ascii="宋体" w:hAnsi="宋体" w:eastAsia="宋体" w:cs="宋体"/>
                <w:sz w:val="24"/>
                <w:szCs w:val="24"/>
              </w:rPr>
              <w:t>项目负责人</w:t>
            </w:r>
          </w:p>
          <w:p>
            <w:pPr>
              <w:spacing w:line="320" w:lineRule="exact"/>
              <w:ind w:left="20"/>
              <w:jc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7分</w:t>
            </w:r>
            <w:r>
              <w:rPr>
                <w:rFonts w:hint="eastAsia" w:ascii="宋体" w:hAnsi="宋体" w:eastAsia="宋体" w:cs="宋体"/>
                <w:sz w:val="24"/>
                <w:szCs w:val="24"/>
                <w:lang w:eastAsia="zh-CN"/>
              </w:rPr>
              <w:t>）</w:t>
            </w:r>
          </w:p>
        </w:tc>
        <w:tc>
          <w:tcPr>
            <w:tcW w:w="5966" w:type="dxa"/>
            <w:noWrap w:val="0"/>
            <w:vAlign w:val="center"/>
          </w:tcPr>
          <w:p>
            <w:pPr>
              <w:spacing w:line="300" w:lineRule="exact"/>
              <w:jc w:val="left"/>
              <w:rPr>
                <w:rFonts w:hint="eastAsia" w:ascii="宋体" w:hAnsi="宋体" w:eastAsia="宋体" w:cs="宋体"/>
                <w:sz w:val="24"/>
                <w:szCs w:val="24"/>
              </w:rPr>
            </w:pPr>
            <w:r>
              <w:rPr>
                <w:rFonts w:hint="eastAsia" w:ascii="宋体" w:hAnsi="宋体" w:eastAsia="宋体" w:cs="宋体"/>
                <w:sz w:val="24"/>
                <w:szCs w:val="24"/>
              </w:rPr>
              <w:t>满足资格审查条件</w:t>
            </w:r>
            <w:r>
              <w:rPr>
                <w:rFonts w:hint="eastAsia" w:ascii="宋体" w:hAnsi="宋体" w:eastAsia="宋体" w:cs="宋体"/>
                <w:sz w:val="24"/>
                <w:szCs w:val="24"/>
                <w:lang w:val="en-US" w:eastAsia="zh-CN"/>
              </w:rPr>
              <w:t>项目负责人</w:t>
            </w:r>
            <w:r>
              <w:rPr>
                <w:rFonts w:hint="eastAsia" w:ascii="宋体" w:hAnsi="宋体" w:eastAsia="宋体" w:cs="宋体"/>
                <w:sz w:val="24"/>
                <w:szCs w:val="24"/>
              </w:rPr>
              <w:t>要求，得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56" w:type="dxa"/>
            <w:vMerge w:val="continue"/>
            <w:noWrap w:val="0"/>
            <w:vAlign w:val="center"/>
          </w:tcPr>
          <w:p>
            <w:pPr>
              <w:spacing w:line="300" w:lineRule="exact"/>
              <w:jc w:val="center"/>
              <w:rPr>
                <w:rFonts w:hint="eastAsia" w:ascii="宋体" w:hAnsi="宋体" w:eastAsia="宋体" w:cs="宋体"/>
                <w:kern w:val="0"/>
                <w:sz w:val="24"/>
                <w:szCs w:val="24"/>
              </w:rPr>
            </w:pPr>
          </w:p>
        </w:tc>
        <w:tc>
          <w:tcPr>
            <w:tcW w:w="967" w:type="dxa"/>
            <w:vMerge w:val="continue"/>
            <w:noWrap w:val="0"/>
            <w:vAlign w:val="center"/>
          </w:tcPr>
          <w:p>
            <w:pPr>
              <w:spacing w:line="300" w:lineRule="exact"/>
              <w:jc w:val="center"/>
              <w:rPr>
                <w:rFonts w:hint="eastAsia" w:ascii="宋体" w:hAnsi="宋体" w:eastAsia="宋体" w:cs="宋体"/>
                <w:kern w:val="0"/>
                <w:sz w:val="24"/>
                <w:szCs w:val="24"/>
              </w:rPr>
            </w:pPr>
          </w:p>
        </w:tc>
        <w:tc>
          <w:tcPr>
            <w:tcW w:w="1741" w:type="dxa"/>
            <w:vMerge w:val="continue"/>
            <w:noWrap w:val="0"/>
            <w:vAlign w:val="center"/>
          </w:tcPr>
          <w:p>
            <w:pPr>
              <w:spacing w:line="320" w:lineRule="exact"/>
              <w:ind w:left="20"/>
              <w:jc w:val="center"/>
              <w:rPr>
                <w:rFonts w:hint="eastAsia" w:ascii="宋体" w:hAnsi="宋体" w:eastAsia="宋体" w:cs="宋体"/>
                <w:sz w:val="24"/>
                <w:szCs w:val="24"/>
              </w:rPr>
            </w:pPr>
          </w:p>
        </w:tc>
        <w:tc>
          <w:tcPr>
            <w:tcW w:w="5966" w:type="dxa"/>
            <w:noWrap w:val="0"/>
            <w:vAlign w:val="center"/>
          </w:tcPr>
          <w:p>
            <w:pPr>
              <w:spacing w:line="3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从事税务咨询或担任相关行业顾问工作超过10年得3分，满5年得2分，5年以下得1分。（注：从事税务咨询工作年限以中国注册税务师注册证书初始注册时间为准。）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56" w:type="dxa"/>
            <w:vMerge w:val="continue"/>
            <w:noWrap w:val="0"/>
            <w:vAlign w:val="center"/>
          </w:tcPr>
          <w:p>
            <w:pPr>
              <w:spacing w:line="300" w:lineRule="exact"/>
              <w:jc w:val="center"/>
              <w:rPr>
                <w:rFonts w:hint="eastAsia" w:ascii="宋体" w:hAnsi="宋体" w:eastAsia="宋体" w:cs="宋体"/>
                <w:kern w:val="0"/>
                <w:sz w:val="24"/>
                <w:szCs w:val="24"/>
              </w:rPr>
            </w:pPr>
          </w:p>
        </w:tc>
        <w:tc>
          <w:tcPr>
            <w:tcW w:w="967" w:type="dxa"/>
            <w:vMerge w:val="continue"/>
            <w:noWrap w:val="0"/>
            <w:vAlign w:val="center"/>
          </w:tcPr>
          <w:p>
            <w:pPr>
              <w:spacing w:line="300" w:lineRule="exact"/>
              <w:jc w:val="center"/>
              <w:rPr>
                <w:rFonts w:hint="eastAsia" w:ascii="宋体" w:hAnsi="宋体" w:eastAsia="宋体" w:cs="宋体"/>
                <w:kern w:val="0"/>
                <w:sz w:val="24"/>
                <w:szCs w:val="24"/>
              </w:rPr>
            </w:pPr>
          </w:p>
        </w:tc>
        <w:tc>
          <w:tcPr>
            <w:tcW w:w="1741" w:type="dxa"/>
            <w:noWrap w:val="0"/>
            <w:vAlign w:val="center"/>
          </w:tcPr>
          <w:p>
            <w:pPr>
              <w:spacing w:line="3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除项目负责人外项目组其他成员</w:t>
            </w:r>
          </w:p>
          <w:p>
            <w:pPr>
              <w:spacing w:line="3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5966" w:type="dxa"/>
            <w:noWrap w:val="0"/>
            <w:vAlign w:val="center"/>
          </w:tcPr>
          <w:p>
            <w:pPr>
              <w:spacing w:line="3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每有一人具备注册税务师证书的得1分，最高得8分。</w:t>
            </w:r>
          </w:p>
          <w:p>
            <w:pPr>
              <w:spacing w:line="3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注：以注册税务师证书原件的复印件或扫描件为准。</w:t>
            </w:r>
          </w:p>
          <w:p>
            <w:pPr>
              <w:pStyle w:val="6"/>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56" w:type="dxa"/>
            <w:vMerge w:val="restart"/>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2.2.4(3)</w:t>
            </w:r>
          </w:p>
        </w:tc>
        <w:tc>
          <w:tcPr>
            <w:tcW w:w="967" w:type="dxa"/>
            <w:vMerge w:val="restart"/>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投标人与本项目相关的具体业绩</w:t>
            </w:r>
            <w:r>
              <w:rPr>
                <w:rFonts w:hint="eastAsia" w:ascii="宋体" w:hAnsi="宋体" w:eastAsia="宋体" w:cs="宋体"/>
                <w:kern w:val="0"/>
                <w:sz w:val="24"/>
                <w:szCs w:val="24"/>
                <w:lang w:val="en-US" w:eastAsia="zh-CN"/>
              </w:rPr>
              <w:t>及企业信誉</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分）</w:t>
            </w:r>
          </w:p>
        </w:tc>
        <w:tc>
          <w:tcPr>
            <w:tcW w:w="1741"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企业类似业绩</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12分</w:t>
            </w:r>
            <w:r>
              <w:rPr>
                <w:rFonts w:hint="eastAsia" w:ascii="宋体" w:hAnsi="宋体" w:eastAsia="宋体" w:cs="宋体"/>
                <w:sz w:val="24"/>
                <w:szCs w:val="24"/>
                <w:lang w:eastAsia="zh-CN"/>
              </w:rPr>
              <w:t>）</w:t>
            </w:r>
          </w:p>
        </w:tc>
        <w:tc>
          <w:tcPr>
            <w:tcW w:w="5966"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满足资格审查条件</w:t>
            </w:r>
            <w:r>
              <w:rPr>
                <w:rFonts w:hint="eastAsia" w:ascii="宋体" w:hAnsi="宋体" w:eastAsia="宋体" w:cs="宋体"/>
                <w:sz w:val="24"/>
                <w:szCs w:val="24"/>
                <w:lang w:val="en-US" w:eastAsia="zh-CN"/>
              </w:rPr>
              <w:t>业绩</w:t>
            </w:r>
            <w:r>
              <w:rPr>
                <w:rFonts w:hint="eastAsia" w:ascii="宋体" w:hAnsi="宋体" w:eastAsia="宋体" w:cs="宋体"/>
                <w:sz w:val="24"/>
                <w:szCs w:val="24"/>
              </w:rPr>
              <w:t>要求，得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56" w:type="dxa"/>
            <w:vMerge w:val="continue"/>
            <w:noWrap w:val="0"/>
            <w:vAlign w:val="center"/>
          </w:tcPr>
          <w:p>
            <w:pPr>
              <w:spacing w:line="300" w:lineRule="exact"/>
              <w:jc w:val="center"/>
              <w:rPr>
                <w:rFonts w:hint="eastAsia" w:ascii="宋体" w:hAnsi="宋体" w:eastAsia="宋体" w:cs="宋体"/>
                <w:kern w:val="0"/>
                <w:sz w:val="24"/>
                <w:szCs w:val="24"/>
              </w:rPr>
            </w:pPr>
          </w:p>
        </w:tc>
        <w:tc>
          <w:tcPr>
            <w:tcW w:w="967" w:type="dxa"/>
            <w:vMerge w:val="continue"/>
            <w:noWrap w:val="0"/>
            <w:vAlign w:val="center"/>
          </w:tcPr>
          <w:p>
            <w:pPr>
              <w:spacing w:line="300" w:lineRule="exact"/>
              <w:jc w:val="center"/>
              <w:rPr>
                <w:rFonts w:hint="eastAsia" w:ascii="宋体" w:hAnsi="宋体" w:eastAsia="宋体" w:cs="宋体"/>
                <w:sz w:val="24"/>
                <w:szCs w:val="24"/>
              </w:rPr>
            </w:pPr>
          </w:p>
        </w:tc>
        <w:tc>
          <w:tcPr>
            <w:tcW w:w="1741" w:type="dxa"/>
            <w:vMerge w:val="continue"/>
            <w:noWrap w:val="0"/>
            <w:vAlign w:val="center"/>
          </w:tcPr>
          <w:p>
            <w:pPr>
              <w:rPr>
                <w:rFonts w:hint="eastAsia" w:ascii="宋体" w:hAnsi="宋体" w:eastAsia="宋体" w:cs="宋体"/>
                <w:sz w:val="24"/>
                <w:szCs w:val="24"/>
              </w:rPr>
            </w:pPr>
          </w:p>
        </w:tc>
        <w:tc>
          <w:tcPr>
            <w:tcW w:w="5966"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每增加1项满足资格审查条件的业绩，加</w:t>
            </w:r>
            <w:r>
              <w:rPr>
                <w:rFonts w:hint="eastAsia" w:ascii="宋体" w:hAnsi="宋体" w:eastAsia="宋体" w:cs="宋体"/>
                <w:sz w:val="24"/>
                <w:szCs w:val="24"/>
                <w:lang w:val="en-US" w:eastAsia="zh-CN"/>
              </w:rPr>
              <w:t>3</w:t>
            </w:r>
            <w:r>
              <w:rPr>
                <w:rFonts w:hint="eastAsia" w:ascii="宋体" w:hAnsi="宋体" w:eastAsia="宋体" w:cs="宋体"/>
                <w:sz w:val="24"/>
                <w:szCs w:val="24"/>
              </w:rPr>
              <w:t>分，本项最多加</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56" w:type="dxa"/>
            <w:vMerge w:val="continue"/>
            <w:noWrap w:val="0"/>
            <w:vAlign w:val="center"/>
          </w:tcPr>
          <w:p>
            <w:pPr>
              <w:spacing w:line="300" w:lineRule="exact"/>
              <w:jc w:val="center"/>
              <w:rPr>
                <w:rFonts w:hint="eastAsia" w:ascii="宋体" w:hAnsi="宋体" w:eastAsia="宋体" w:cs="宋体"/>
                <w:kern w:val="0"/>
                <w:sz w:val="24"/>
                <w:szCs w:val="24"/>
              </w:rPr>
            </w:pPr>
          </w:p>
        </w:tc>
        <w:tc>
          <w:tcPr>
            <w:tcW w:w="967" w:type="dxa"/>
            <w:vMerge w:val="continue"/>
            <w:noWrap w:val="0"/>
            <w:vAlign w:val="center"/>
          </w:tcPr>
          <w:p>
            <w:pPr>
              <w:spacing w:line="300" w:lineRule="exact"/>
              <w:jc w:val="center"/>
              <w:rPr>
                <w:rFonts w:hint="eastAsia" w:ascii="宋体" w:hAnsi="宋体" w:eastAsia="宋体" w:cs="宋体"/>
                <w:sz w:val="24"/>
                <w:szCs w:val="24"/>
              </w:rPr>
            </w:pPr>
          </w:p>
        </w:tc>
        <w:tc>
          <w:tcPr>
            <w:tcW w:w="174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企业信誉</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5966" w:type="dxa"/>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根据最新的行业主管部门等级税务师事务所认定：行业主管部门认定为AA</w:t>
            </w:r>
            <w:r>
              <w:rPr>
                <w:rFonts w:hint="eastAsia" w:ascii="宋体" w:hAnsi="宋体" w:eastAsia="宋体" w:cs="宋体"/>
                <w:sz w:val="24"/>
                <w:szCs w:val="24"/>
                <w:lang w:val="en-US" w:eastAsia="zh-CN"/>
              </w:rPr>
              <w:t>A</w:t>
            </w:r>
            <w:r>
              <w:rPr>
                <w:rFonts w:hint="eastAsia" w:ascii="宋体" w:hAnsi="宋体" w:eastAsia="宋体" w:cs="宋体"/>
                <w:sz w:val="24"/>
                <w:szCs w:val="24"/>
              </w:rPr>
              <w:t>级及以上，得</w:t>
            </w:r>
            <w:r>
              <w:rPr>
                <w:rFonts w:hint="eastAsia" w:ascii="宋体" w:hAnsi="宋体" w:eastAsia="宋体" w:cs="宋体"/>
                <w:sz w:val="24"/>
                <w:szCs w:val="24"/>
                <w:lang w:val="en-US" w:eastAsia="zh-CN"/>
              </w:rPr>
              <w:t>3</w:t>
            </w:r>
            <w:r>
              <w:rPr>
                <w:rFonts w:hint="eastAsia" w:ascii="宋体" w:hAnsi="宋体" w:eastAsia="宋体" w:cs="宋体"/>
                <w:sz w:val="24"/>
                <w:szCs w:val="24"/>
              </w:rPr>
              <w:t>分；行业主管部门认定为AA</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得2分；</w:t>
            </w:r>
            <w:r>
              <w:rPr>
                <w:rFonts w:hint="eastAsia" w:ascii="宋体" w:hAnsi="宋体" w:eastAsia="宋体" w:cs="宋体"/>
                <w:sz w:val="24"/>
                <w:szCs w:val="24"/>
              </w:rPr>
              <w:t>行业主管部门认定为</w:t>
            </w:r>
            <w:r>
              <w:rPr>
                <w:rFonts w:hint="eastAsia" w:ascii="宋体" w:hAnsi="宋体" w:eastAsia="宋体" w:cs="宋体"/>
                <w:sz w:val="24"/>
                <w:szCs w:val="24"/>
                <w:lang w:val="en-US" w:eastAsia="zh-CN"/>
              </w:rPr>
              <w:t>A</w:t>
            </w:r>
            <w:r>
              <w:rPr>
                <w:rFonts w:hint="eastAsia" w:ascii="宋体" w:hAnsi="宋体" w:eastAsia="宋体" w:cs="宋体"/>
                <w:sz w:val="24"/>
                <w:szCs w:val="24"/>
              </w:rPr>
              <w:t>级，得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056" w:type="dxa"/>
            <w:noWrap w:val="0"/>
            <w:vAlign w:val="center"/>
          </w:tcPr>
          <w:p>
            <w:pPr>
              <w:spacing w:line="3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2.2.4(4)</w:t>
            </w:r>
          </w:p>
        </w:tc>
        <w:tc>
          <w:tcPr>
            <w:tcW w:w="967" w:type="dxa"/>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kern w:val="0"/>
                <w:sz w:val="24"/>
                <w:szCs w:val="24"/>
              </w:rPr>
              <w:t>评标价（</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分）</w:t>
            </w:r>
          </w:p>
        </w:tc>
        <w:tc>
          <w:tcPr>
            <w:tcW w:w="7707" w:type="dxa"/>
            <w:gridSpan w:val="2"/>
            <w:noWrap w:val="0"/>
            <w:vAlign w:val="center"/>
          </w:tcPr>
          <w:p>
            <w:pPr>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评标价得分计算公式示例：</w:t>
            </w:r>
          </w:p>
          <w:p>
            <w:pPr>
              <w:rPr>
                <w:rFonts w:hint="eastAsia" w:ascii="宋体" w:hAnsi="宋体" w:eastAsia="宋体" w:cs="宋体"/>
                <w:spacing w:val="-2"/>
                <w:kern w:val="0"/>
                <w:sz w:val="24"/>
                <w:szCs w:val="24"/>
                <w:highlight w:val="none"/>
              </w:rPr>
            </w:pPr>
            <w:r>
              <w:rPr>
                <w:rFonts w:hint="eastAsia" w:ascii="宋体" w:hAnsi="宋体" w:eastAsia="宋体" w:cs="宋体"/>
                <w:kern w:val="0"/>
                <w:sz w:val="24"/>
                <w:szCs w:val="24"/>
              </w:rPr>
              <w:t>(1)</w:t>
            </w:r>
            <w:r>
              <w:rPr>
                <w:rFonts w:hint="eastAsia" w:ascii="宋体" w:hAnsi="宋体" w:eastAsia="宋体" w:cs="宋体"/>
                <w:spacing w:val="-2"/>
                <w:kern w:val="0"/>
                <w:sz w:val="24"/>
                <w:szCs w:val="24"/>
              </w:rPr>
              <w:t>如果投标人的评标价＞评标基</w:t>
            </w:r>
            <w:r>
              <w:rPr>
                <w:rFonts w:hint="eastAsia" w:ascii="宋体" w:hAnsi="宋体" w:eastAsia="宋体" w:cs="宋体"/>
                <w:spacing w:val="-2"/>
                <w:kern w:val="0"/>
                <w:sz w:val="24"/>
                <w:szCs w:val="24"/>
                <w:highlight w:val="none"/>
              </w:rPr>
              <w:t>准价，则评标价得分=</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0-偏差率×100×E</w:t>
            </w:r>
            <w:r>
              <w:rPr>
                <w:rFonts w:hint="eastAsia" w:ascii="宋体" w:hAnsi="宋体" w:eastAsia="宋体" w:cs="宋体"/>
                <w:spacing w:val="-2"/>
                <w:kern w:val="0"/>
                <w:sz w:val="24"/>
                <w:szCs w:val="24"/>
                <w:highlight w:val="none"/>
                <w:vertAlign w:val="subscript"/>
              </w:rPr>
              <w:t>1</w:t>
            </w:r>
            <w:r>
              <w:rPr>
                <w:rFonts w:hint="eastAsia" w:ascii="宋体" w:hAnsi="宋体" w:eastAsia="宋体" w:cs="宋体"/>
                <w:spacing w:val="-2"/>
                <w:kern w:val="0"/>
                <w:sz w:val="24"/>
                <w:szCs w:val="24"/>
                <w:highlight w:val="none"/>
              </w:rPr>
              <w:t>；</w:t>
            </w:r>
          </w:p>
          <w:p>
            <w:pPr>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pacing w:val="-2"/>
                <w:kern w:val="0"/>
                <w:sz w:val="24"/>
                <w:szCs w:val="24"/>
              </w:rPr>
              <w:t>)如果投标人的评标价≤评标基准价，则评标价得分=</w:t>
            </w:r>
            <w:r>
              <w:rPr>
                <w:rFonts w:hint="eastAsia" w:ascii="宋体" w:hAnsi="宋体" w:eastAsia="宋体" w:cs="宋体"/>
                <w:spacing w:val="-2"/>
                <w:kern w:val="0"/>
                <w:sz w:val="24"/>
                <w:szCs w:val="24"/>
                <w:lang w:val="en-US" w:eastAsia="zh-CN"/>
              </w:rPr>
              <w:t>3</w:t>
            </w:r>
            <w:r>
              <w:rPr>
                <w:rFonts w:hint="eastAsia" w:ascii="宋体" w:hAnsi="宋体" w:eastAsia="宋体" w:cs="宋体"/>
                <w:spacing w:val="-2"/>
                <w:kern w:val="0"/>
                <w:sz w:val="24"/>
                <w:szCs w:val="24"/>
              </w:rPr>
              <w:t>0+偏差率×100×E</w:t>
            </w:r>
            <w:r>
              <w:rPr>
                <w:rFonts w:hint="eastAsia" w:ascii="宋体" w:hAnsi="宋体" w:eastAsia="宋体" w:cs="宋体"/>
                <w:spacing w:val="-2"/>
                <w:kern w:val="0"/>
                <w:sz w:val="24"/>
                <w:szCs w:val="24"/>
                <w:vertAlign w:val="subscript"/>
              </w:rPr>
              <w:t>2</w:t>
            </w:r>
            <w:r>
              <w:rPr>
                <w:rFonts w:hint="eastAsia" w:ascii="宋体" w:hAnsi="宋体" w:eastAsia="宋体" w:cs="宋体"/>
                <w:spacing w:val="-2"/>
                <w:kern w:val="0"/>
                <w:sz w:val="24"/>
                <w:szCs w:val="24"/>
              </w:rPr>
              <w:t>。</w:t>
            </w:r>
          </w:p>
          <w:p>
            <w:pPr>
              <w:ind w:firstLine="240" w:firstLineChars="100"/>
              <w:rPr>
                <w:rFonts w:hint="eastAsia" w:ascii="宋体" w:hAnsi="宋体" w:eastAsia="宋体" w:cs="宋体"/>
                <w:sz w:val="24"/>
                <w:szCs w:val="24"/>
              </w:rPr>
            </w:pPr>
            <w:r>
              <w:rPr>
                <w:rFonts w:hint="eastAsia" w:ascii="宋体" w:hAnsi="宋体" w:eastAsia="宋体" w:cs="宋体"/>
                <w:kern w:val="0"/>
                <w:sz w:val="24"/>
                <w:szCs w:val="24"/>
              </w:rPr>
              <w:t>其中：E</w:t>
            </w:r>
            <w:r>
              <w:rPr>
                <w:rFonts w:hint="eastAsia" w:ascii="宋体" w:hAnsi="宋体" w:eastAsia="宋体" w:cs="宋体"/>
                <w:kern w:val="0"/>
                <w:sz w:val="24"/>
                <w:szCs w:val="24"/>
                <w:vertAlign w:val="subscript"/>
              </w:rPr>
              <w:t>1</w:t>
            </w:r>
            <w:r>
              <w:rPr>
                <w:rFonts w:hint="eastAsia" w:ascii="宋体" w:hAnsi="宋体" w:eastAsia="宋体" w:cs="宋体"/>
                <w:kern w:val="0"/>
                <w:sz w:val="24"/>
                <w:szCs w:val="24"/>
              </w:rPr>
              <w:t>=0.2是评标价每高于评标基准价一个百分点的扣分值；E</w:t>
            </w:r>
            <w:r>
              <w:rPr>
                <w:rFonts w:hint="eastAsia" w:ascii="宋体" w:hAnsi="宋体" w:eastAsia="宋体" w:cs="宋体"/>
                <w:kern w:val="0"/>
                <w:sz w:val="24"/>
                <w:szCs w:val="24"/>
                <w:vertAlign w:val="subscript"/>
              </w:rPr>
              <w:t>2</w:t>
            </w:r>
            <w:r>
              <w:rPr>
                <w:rFonts w:hint="eastAsia" w:ascii="宋体" w:hAnsi="宋体" w:eastAsia="宋体" w:cs="宋体"/>
                <w:kern w:val="0"/>
                <w:sz w:val="24"/>
                <w:szCs w:val="24"/>
              </w:rPr>
              <w:t>=0.1是评标价每低于评标基准价一个百分点的扣分值。投标价得分最低为0分。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83" w:hRule="atLeast"/>
          <w:jc w:val="center"/>
        </w:trPr>
        <w:tc>
          <w:tcPr>
            <w:tcW w:w="9730" w:type="dxa"/>
            <w:gridSpan w:val="4"/>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kern w:val="0"/>
                <w:sz w:val="24"/>
                <w:szCs w:val="24"/>
              </w:rPr>
              <w:t>需要补充的其他内容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6" w:hRule="atLeast"/>
          <w:jc w:val="center"/>
        </w:trPr>
        <w:tc>
          <w:tcPr>
            <w:tcW w:w="9730" w:type="dxa"/>
            <w:gridSpan w:val="4"/>
            <w:tcBorders>
              <w:top w:val="single" w:color="auto" w:sz="8" w:space="0"/>
              <w:left w:val="single" w:color="auto" w:sz="8" w:space="0"/>
              <w:bottom w:val="single" w:color="auto" w:sz="8" w:space="0"/>
              <w:right w:val="single" w:color="auto" w:sz="8" w:space="0"/>
            </w:tcBorders>
            <w:noWrap w:val="0"/>
            <w:vAlign w:val="center"/>
          </w:tcPr>
          <w:p>
            <w:pPr>
              <w:spacing w:line="36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注：1、各评审因素得分应以评标委员会各成员的打分平均值确定。</w:t>
            </w:r>
          </w:p>
          <w:p>
            <w:pPr>
              <w:spacing w:line="360" w:lineRule="auto"/>
              <w:ind w:firstLine="960" w:firstLineChars="4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缺项则该项得0分。</w:t>
            </w:r>
          </w:p>
        </w:tc>
      </w:tr>
    </w:tbl>
    <w:p>
      <w:pPr>
        <w:rPr>
          <w:rFonts w:ascii="宋体" w:hAnsi="宋体"/>
          <w:sz w:val="24"/>
        </w:rPr>
      </w:pPr>
      <w:r>
        <w:rPr>
          <w:rFonts w:hint="eastAsia" w:ascii="宋体" w:hAnsi="宋体" w:eastAsia="宋体" w:cs="宋体"/>
          <w:sz w:val="24"/>
          <w:szCs w:val="24"/>
        </w:rPr>
        <w:br w:type="page"/>
      </w:r>
      <w:r>
        <w:rPr>
          <w:rFonts w:ascii="宋体" w:hAnsi="宋体"/>
          <w:sz w:val="24"/>
        </w:rPr>
        <w:t>1. 评标方法</w:t>
      </w:r>
    </w:p>
    <w:p>
      <w:pPr>
        <w:ind w:firstLine="480" w:firstLineChars="200"/>
        <w:rPr>
          <w:rFonts w:ascii="宋体" w:hAnsi="宋体"/>
          <w:sz w:val="24"/>
        </w:rPr>
      </w:pPr>
      <w:r>
        <w:rPr>
          <w:rFonts w:ascii="宋体" w:hAnsi="宋体"/>
          <w:sz w:val="24"/>
        </w:rPr>
        <w:t>本次评标采用综合评</w:t>
      </w:r>
      <w:r>
        <w:rPr>
          <w:rFonts w:hint="eastAsia" w:ascii="宋体" w:hAnsi="宋体"/>
          <w:sz w:val="24"/>
          <w:lang w:val="en-US" w:eastAsia="zh-CN"/>
        </w:rPr>
        <w:t>分</w:t>
      </w:r>
      <w:r>
        <w:rPr>
          <w:rFonts w:ascii="宋体" w:hAnsi="宋体"/>
          <w:sz w:val="24"/>
        </w:rPr>
        <w:t>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rPr>
          <w:rFonts w:ascii="宋体" w:hAnsi="宋体"/>
          <w:sz w:val="24"/>
        </w:rPr>
      </w:pPr>
      <w:r>
        <w:rPr>
          <w:rFonts w:ascii="宋体" w:hAnsi="宋体"/>
          <w:sz w:val="24"/>
        </w:rPr>
        <w:t>2. 评审标准</w:t>
      </w:r>
    </w:p>
    <w:p>
      <w:pPr>
        <w:rPr>
          <w:rFonts w:ascii="宋体" w:hAnsi="宋体"/>
          <w:sz w:val="24"/>
        </w:rPr>
      </w:pPr>
      <w:r>
        <w:rPr>
          <w:rFonts w:ascii="宋体" w:hAnsi="宋体"/>
          <w:sz w:val="24"/>
        </w:rPr>
        <w:t>2.1 初步评审标准</w:t>
      </w:r>
    </w:p>
    <w:p>
      <w:pPr>
        <w:spacing w:line="400" w:lineRule="exact"/>
        <w:ind w:firstLine="480" w:firstLineChars="200"/>
        <w:rPr>
          <w:rFonts w:ascii="宋体" w:hAnsi="宋体"/>
          <w:sz w:val="24"/>
        </w:rPr>
      </w:pPr>
      <w:r>
        <w:rPr>
          <w:rFonts w:ascii="宋体" w:hAnsi="宋体"/>
          <w:sz w:val="24"/>
        </w:rPr>
        <w:t>2.1.1 形式评审标准：见评标办法前附表。</w:t>
      </w:r>
    </w:p>
    <w:p>
      <w:pPr>
        <w:spacing w:line="400" w:lineRule="exact"/>
        <w:ind w:firstLine="480" w:firstLineChars="200"/>
        <w:rPr>
          <w:rFonts w:ascii="宋体" w:hAnsi="宋体"/>
          <w:sz w:val="24"/>
        </w:rPr>
      </w:pPr>
      <w:r>
        <w:rPr>
          <w:rFonts w:ascii="宋体" w:hAnsi="宋体"/>
          <w:sz w:val="24"/>
        </w:rPr>
        <w:t>2.1.2 资格评审标准：见评标办法前附表。</w:t>
      </w:r>
    </w:p>
    <w:p>
      <w:pPr>
        <w:spacing w:line="400" w:lineRule="exact"/>
        <w:ind w:firstLine="480" w:firstLineChars="200"/>
        <w:rPr>
          <w:rFonts w:ascii="宋体" w:hAnsi="宋体"/>
          <w:sz w:val="24"/>
        </w:rPr>
      </w:pPr>
      <w:r>
        <w:rPr>
          <w:rFonts w:ascii="宋体" w:hAnsi="宋体"/>
          <w:sz w:val="24"/>
        </w:rPr>
        <w:t>2.1.3 响应性评审标准：见评标办法前附表。</w:t>
      </w:r>
    </w:p>
    <w:p>
      <w:pPr>
        <w:rPr>
          <w:rFonts w:ascii="宋体" w:hAnsi="宋体"/>
          <w:sz w:val="24"/>
        </w:rPr>
      </w:pPr>
      <w:r>
        <w:rPr>
          <w:rFonts w:ascii="宋体" w:hAnsi="宋体"/>
          <w:sz w:val="24"/>
        </w:rPr>
        <w:t>2.2 分值构成与评分标准</w:t>
      </w:r>
    </w:p>
    <w:p>
      <w:pPr>
        <w:spacing w:line="400" w:lineRule="exact"/>
        <w:ind w:firstLine="480" w:firstLineChars="200"/>
        <w:rPr>
          <w:rFonts w:ascii="宋体" w:hAnsi="宋体"/>
          <w:sz w:val="24"/>
        </w:rPr>
      </w:pPr>
      <w:r>
        <w:rPr>
          <w:rFonts w:ascii="宋体" w:hAnsi="宋体"/>
          <w:sz w:val="24"/>
        </w:rPr>
        <w:t>2.2.1 分值构成</w:t>
      </w:r>
    </w:p>
    <w:p>
      <w:pPr>
        <w:spacing w:line="400" w:lineRule="exact"/>
        <w:ind w:firstLine="480" w:firstLineChars="200"/>
        <w:rPr>
          <w:rFonts w:ascii="宋体" w:hAnsi="宋体"/>
          <w:sz w:val="24"/>
        </w:rPr>
      </w:pPr>
      <w:r>
        <w:rPr>
          <w:rFonts w:ascii="宋体" w:hAnsi="宋体"/>
          <w:sz w:val="24"/>
        </w:rPr>
        <w:t>（1）</w:t>
      </w:r>
      <w:r>
        <w:rPr>
          <w:rFonts w:hint="eastAsia" w:ascii="宋体" w:hAnsi="宋体"/>
          <w:sz w:val="24"/>
          <w:lang w:eastAsia="zh-CN"/>
        </w:rPr>
        <w:t>服务建议书</w:t>
      </w:r>
      <w:r>
        <w:rPr>
          <w:rFonts w:ascii="宋体" w:hAnsi="宋体"/>
          <w:sz w:val="24"/>
        </w:rPr>
        <w:t>：见评标办法前附表；</w:t>
      </w:r>
    </w:p>
    <w:p>
      <w:pPr>
        <w:spacing w:line="400" w:lineRule="exact"/>
        <w:ind w:firstLine="480" w:firstLineChars="200"/>
        <w:rPr>
          <w:rFonts w:ascii="宋体" w:hAnsi="宋体"/>
          <w:sz w:val="24"/>
        </w:rPr>
      </w:pPr>
      <w:r>
        <w:rPr>
          <w:rFonts w:ascii="宋体" w:hAnsi="宋体"/>
          <w:sz w:val="24"/>
        </w:rPr>
        <w:t>（2）</w:t>
      </w:r>
      <w:r>
        <w:rPr>
          <w:rFonts w:hint="eastAsia" w:ascii="宋体" w:hAnsi="宋体"/>
          <w:sz w:val="24"/>
        </w:rPr>
        <w:t>拟投入本项目的人员资格和能力</w:t>
      </w:r>
      <w:r>
        <w:rPr>
          <w:rFonts w:ascii="宋体" w:hAnsi="宋体"/>
          <w:sz w:val="24"/>
        </w:rPr>
        <w:t>：见评标办法前附表；</w:t>
      </w:r>
    </w:p>
    <w:p>
      <w:pPr>
        <w:spacing w:line="400" w:lineRule="exact"/>
        <w:ind w:firstLine="480" w:firstLineChars="200"/>
        <w:rPr>
          <w:rFonts w:ascii="宋体" w:hAnsi="宋体"/>
          <w:sz w:val="24"/>
        </w:rPr>
      </w:pPr>
      <w:r>
        <w:rPr>
          <w:rFonts w:ascii="宋体" w:hAnsi="宋体"/>
          <w:sz w:val="24"/>
        </w:rPr>
        <w:t>（3）</w:t>
      </w:r>
      <w:r>
        <w:rPr>
          <w:rFonts w:hint="eastAsia" w:ascii="宋体" w:hAnsi="宋体"/>
          <w:sz w:val="24"/>
        </w:rPr>
        <w:t>投标人与本项目相关的具体业绩</w:t>
      </w:r>
      <w:r>
        <w:rPr>
          <w:rFonts w:hint="eastAsia" w:ascii="宋体" w:hAnsi="宋体"/>
          <w:sz w:val="24"/>
          <w:lang w:val="en-US" w:eastAsia="zh-CN"/>
        </w:rPr>
        <w:t>及企业信誉</w:t>
      </w:r>
      <w:r>
        <w:rPr>
          <w:rFonts w:ascii="宋体" w:hAnsi="宋体"/>
          <w:sz w:val="24"/>
        </w:rPr>
        <w:t>：见评标办法前附表；</w:t>
      </w:r>
    </w:p>
    <w:p>
      <w:pPr>
        <w:spacing w:line="400" w:lineRule="exact"/>
        <w:ind w:firstLine="480" w:firstLineChars="200"/>
        <w:rPr>
          <w:rFonts w:ascii="宋体" w:hAnsi="宋体"/>
          <w:sz w:val="24"/>
        </w:rPr>
      </w:pPr>
      <w:r>
        <w:rPr>
          <w:rFonts w:ascii="宋体" w:hAnsi="宋体"/>
          <w:sz w:val="24"/>
        </w:rPr>
        <w:t>（4）投标报价：见评标办法前附表。</w:t>
      </w:r>
    </w:p>
    <w:p>
      <w:pPr>
        <w:spacing w:line="400" w:lineRule="exact"/>
        <w:ind w:firstLine="480" w:firstLineChars="200"/>
        <w:rPr>
          <w:rFonts w:ascii="宋体" w:hAnsi="宋体"/>
          <w:sz w:val="24"/>
        </w:rPr>
      </w:pPr>
      <w:r>
        <w:rPr>
          <w:rFonts w:ascii="宋体" w:hAnsi="宋体"/>
          <w:sz w:val="24"/>
        </w:rPr>
        <w:t>2.2.2  评标基准价计算</w:t>
      </w:r>
    </w:p>
    <w:p>
      <w:pPr>
        <w:spacing w:line="400" w:lineRule="exact"/>
        <w:ind w:firstLine="480" w:firstLineChars="200"/>
        <w:rPr>
          <w:rFonts w:ascii="宋体" w:hAnsi="宋体"/>
          <w:sz w:val="24"/>
        </w:rPr>
      </w:pPr>
      <w:r>
        <w:rPr>
          <w:rFonts w:ascii="宋体" w:hAnsi="宋体"/>
          <w:sz w:val="24"/>
        </w:rPr>
        <w:t>评标基准价计算方法：见评标办法前附表。</w:t>
      </w:r>
    </w:p>
    <w:p>
      <w:pPr>
        <w:spacing w:line="400" w:lineRule="exact"/>
        <w:ind w:firstLine="480" w:firstLineChars="200"/>
        <w:rPr>
          <w:rFonts w:ascii="宋体" w:hAnsi="宋体"/>
          <w:sz w:val="24"/>
        </w:rPr>
      </w:pPr>
      <w:r>
        <w:rPr>
          <w:rFonts w:ascii="宋体" w:hAnsi="宋体"/>
          <w:sz w:val="24"/>
        </w:rPr>
        <w:t>2.2.3  投标报价的偏差率计算</w:t>
      </w:r>
    </w:p>
    <w:p>
      <w:pPr>
        <w:spacing w:line="400" w:lineRule="exact"/>
        <w:ind w:firstLine="480" w:firstLineChars="200"/>
        <w:rPr>
          <w:rFonts w:ascii="宋体" w:hAnsi="宋体"/>
          <w:sz w:val="24"/>
        </w:rPr>
      </w:pPr>
      <w:r>
        <w:rPr>
          <w:rFonts w:ascii="宋体" w:hAnsi="宋体"/>
          <w:sz w:val="24"/>
        </w:rPr>
        <w:t>投标报价的偏差率计算公式：见评标办法前附表。</w:t>
      </w:r>
    </w:p>
    <w:p>
      <w:pPr>
        <w:spacing w:line="400" w:lineRule="exact"/>
        <w:ind w:firstLine="480" w:firstLineChars="200"/>
        <w:rPr>
          <w:rFonts w:ascii="宋体" w:hAnsi="宋体"/>
          <w:sz w:val="24"/>
        </w:rPr>
      </w:pPr>
      <w:r>
        <w:rPr>
          <w:rFonts w:ascii="宋体" w:hAnsi="宋体"/>
          <w:sz w:val="24"/>
        </w:rPr>
        <w:t>2.2.4  评分标准</w:t>
      </w:r>
    </w:p>
    <w:p>
      <w:pPr>
        <w:spacing w:line="400" w:lineRule="exact"/>
        <w:ind w:firstLine="480" w:firstLineChars="200"/>
        <w:rPr>
          <w:rFonts w:ascii="宋体" w:hAnsi="宋体"/>
          <w:sz w:val="24"/>
        </w:rPr>
      </w:pPr>
      <w:r>
        <w:rPr>
          <w:rFonts w:ascii="宋体" w:hAnsi="宋体"/>
          <w:sz w:val="24"/>
        </w:rPr>
        <w:t>（1）</w:t>
      </w:r>
      <w:r>
        <w:rPr>
          <w:rFonts w:hint="eastAsia" w:ascii="宋体" w:hAnsi="宋体"/>
          <w:sz w:val="24"/>
          <w:lang w:eastAsia="zh-CN"/>
        </w:rPr>
        <w:t>服务建议书</w:t>
      </w:r>
      <w:r>
        <w:rPr>
          <w:rFonts w:ascii="宋体" w:hAnsi="宋体"/>
          <w:sz w:val="24"/>
        </w:rPr>
        <w:t>评分标准：见评标办法前附表；</w:t>
      </w:r>
    </w:p>
    <w:p>
      <w:pPr>
        <w:spacing w:line="400" w:lineRule="exact"/>
        <w:ind w:firstLine="480" w:firstLineChars="200"/>
        <w:rPr>
          <w:rFonts w:ascii="宋体" w:hAnsi="宋体"/>
          <w:sz w:val="24"/>
        </w:rPr>
      </w:pPr>
      <w:r>
        <w:rPr>
          <w:rFonts w:ascii="宋体" w:hAnsi="宋体"/>
          <w:sz w:val="24"/>
        </w:rPr>
        <w:t>（2）</w:t>
      </w:r>
      <w:r>
        <w:rPr>
          <w:rFonts w:hint="eastAsia" w:ascii="宋体" w:hAnsi="宋体"/>
          <w:sz w:val="24"/>
        </w:rPr>
        <w:t>拟投入本项目的人员资格和能力</w:t>
      </w:r>
      <w:r>
        <w:rPr>
          <w:rFonts w:ascii="宋体" w:hAnsi="宋体"/>
          <w:sz w:val="24"/>
        </w:rPr>
        <w:t>评分标准：见评标办法前附表；</w:t>
      </w:r>
    </w:p>
    <w:p>
      <w:pPr>
        <w:spacing w:line="400" w:lineRule="exact"/>
        <w:ind w:firstLine="480" w:firstLineChars="200"/>
        <w:rPr>
          <w:rFonts w:ascii="宋体" w:hAnsi="宋体"/>
          <w:sz w:val="24"/>
        </w:rPr>
      </w:pPr>
      <w:r>
        <w:rPr>
          <w:rFonts w:ascii="宋体" w:hAnsi="宋体"/>
          <w:sz w:val="24"/>
        </w:rPr>
        <w:t>（3）</w:t>
      </w:r>
      <w:r>
        <w:rPr>
          <w:rFonts w:hint="eastAsia" w:ascii="宋体" w:hAnsi="宋体"/>
          <w:sz w:val="24"/>
        </w:rPr>
        <w:t>投标人与本项目相关的具体业绩</w:t>
      </w:r>
      <w:r>
        <w:rPr>
          <w:rFonts w:hint="eastAsia" w:ascii="宋体" w:hAnsi="宋体"/>
          <w:sz w:val="24"/>
          <w:lang w:val="en-US" w:eastAsia="zh-CN"/>
        </w:rPr>
        <w:t>及企业信誉</w:t>
      </w:r>
      <w:r>
        <w:rPr>
          <w:rFonts w:ascii="宋体" w:hAnsi="宋体"/>
          <w:sz w:val="24"/>
        </w:rPr>
        <w:t>评分标准：见评标办法前附表；</w:t>
      </w:r>
    </w:p>
    <w:p>
      <w:pPr>
        <w:spacing w:line="400" w:lineRule="exact"/>
        <w:ind w:firstLine="480" w:firstLineChars="200"/>
        <w:rPr>
          <w:rFonts w:ascii="宋体" w:hAnsi="宋体"/>
          <w:sz w:val="24"/>
        </w:rPr>
      </w:pPr>
      <w:r>
        <w:rPr>
          <w:rFonts w:ascii="宋体" w:hAnsi="宋体"/>
          <w:sz w:val="24"/>
        </w:rPr>
        <w:t>（4）投标报价评分标准：见评标办法前附表。</w:t>
      </w:r>
    </w:p>
    <w:p>
      <w:pPr>
        <w:rPr>
          <w:rFonts w:ascii="宋体" w:hAnsi="宋体"/>
          <w:sz w:val="24"/>
        </w:rPr>
      </w:pPr>
      <w:r>
        <w:rPr>
          <w:rFonts w:ascii="宋体" w:hAnsi="宋体"/>
          <w:sz w:val="24"/>
        </w:rPr>
        <w:t>3. 评标程序</w:t>
      </w:r>
    </w:p>
    <w:p>
      <w:pPr>
        <w:rPr>
          <w:rFonts w:ascii="宋体" w:hAnsi="宋体"/>
          <w:sz w:val="24"/>
        </w:rPr>
      </w:pPr>
      <w:r>
        <w:rPr>
          <w:rFonts w:ascii="宋体" w:hAnsi="宋体"/>
          <w:sz w:val="24"/>
        </w:rPr>
        <w:t>3.1 初步评审</w:t>
      </w:r>
    </w:p>
    <w:p>
      <w:pPr>
        <w:spacing w:line="400" w:lineRule="exact"/>
        <w:ind w:firstLine="480" w:firstLineChars="200"/>
        <w:rPr>
          <w:rFonts w:ascii="宋体" w:hAnsi="宋体"/>
          <w:sz w:val="24"/>
        </w:rPr>
      </w:pPr>
      <w:r>
        <w:rPr>
          <w:rFonts w:ascii="宋体" w:hAnsi="宋体"/>
          <w:sz w:val="24"/>
        </w:rPr>
        <w:t>3.1.1 评标委员会可以</w:t>
      </w:r>
      <w:r>
        <w:rPr>
          <w:rFonts w:hint="eastAsia" w:ascii="宋体" w:hAnsi="宋体"/>
          <w:sz w:val="24"/>
          <w:lang w:val="en-US" w:eastAsia="zh-CN"/>
        </w:rPr>
        <w:t>根据</w:t>
      </w:r>
      <w:r>
        <w:rPr>
          <w:rFonts w:ascii="宋体" w:hAnsi="宋体"/>
          <w:sz w:val="24"/>
        </w:rPr>
        <w:t>投标人</w:t>
      </w:r>
      <w:r>
        <w:rPr>
          <w:rFonts w:hint="eastAsia" w:ascii="宋体" w:hAnsi="宋体"/>
          <w:sz w:val="24"/>
          <w:lang w:val="en-US" w:eastAsia="zh-CN"/>
        </w:rPr>
        <w:t>提交的电子投标文件中</w:t>
      </w:r>
      <w:r>
        <w:rPr>
          <w:rFonts w:ascii="宋体" w:hAnsi="宋体"/>
          <w:sz w:val="24"/>
        </w:rPr>
        <w:t>第二章“投标人须知”第3.5.1项的有关证明和证件的</w:t>
      </w:r>
      <w:r>
        <w:rPr>
          <w:rFonts w:hint="eastAsia" w:ascii="宋体" w:hAnsi="宋体"/>
          <w:sz w:val="24"/>
          <w:lang w:val="en-US" w:eastAsia="zh-CN"/>
        </w:rPr>
        <w:t>扫描件进行相关</w:t>
      </w:r>
      <w:r>
        <w:rPr>
          <w:rFonts w:ascii="宋体" w:hAnsi="宋体"/>
          <w:sz w:val="24"/>
        </w:rPr>
        <w:t>核验。评标委员会依据本章第2.1款规定的标准对投标文件进行初步评审。有一项不符合评审标准的，作</w:t>
      </w:r>
      <w:r>
        <w:rPr>
          <w:rFonts w:hint="eastAsia" w:ascii="宋体" w:hAnsi="宋体"/>
          <w:sz w:val="24"/>
        </w:rPr>
        <w:t>无效投标</w:t>
      </w:r>
      <w:r>
        <w:rPr>
          <w:rFonts w:ascii="宋体" w:hAnsi="宋体"/>
          <w:sz w:val="24"/>
        </w:rPr>
        <w:t>处理。</w:t>
      </w:r>
    </w:p>
    <w:p>
      <w:pPr>
        <w:spacing w:line="400" w:lineRule="exact"/>
        <w:ind w:firstLine="480" w:firstLineChars="200"/>
        <w:rPr>
          <w:rFonts w:ascii="宋体" w:hAnsi="宋体"/>
          <w:sz w:val="24"/>
        </w:rPr>
      </w:pPr>
      <w:r>
        <w:rPr>
          <w:rFonts w:ascii="宋体" w:hAnsi="宋体"/>
          <w:sz w:val="24"/>
        </w:rPr>
        <w:t>3.1.2 投标人有以下情形之一的，其投标作</w:t>
      </w:r>
      <w:r>
        <w:rPr>
          <w:rFonts w:hint="eastAsia" w:ascii="宋体" w:hAnsi="宋体"/>
          <w:sz w:val="24"/>
        </w:rPr>
        <w:t>无效投标</w:t>
      </w:r>
      <w:r>
        <w:rPr>
          <w:rFonts w:ascii="宋体" w:hAnsi="宋体"/>
          <w:sz w:val="24"/>
        </w:rPr>
        <w:t>处理：</w:t>
      </w:r>
    </w:p>
    <w:p>
      <w:pPr>
        <w:spacing w:line="400" w:lineRule="exact"/>
        <w:ind w:firstLine="480" w:firstLineChars="200"/>
        <w:rPr>
          <w:rFonts w:ascii="宋体" w:hAnsi="宋体"/>
          <w:sz w:val="24"/>
        </w:rPr>
      </w:pPr>
      <w:r>
        <w:rPr>
          <w:rFonts w:ascii="宋体" w:hAnsi="宋体"/>
          <w:sz w:val="24"/>
        </w:rPr>
        <w:t>（1）第二章“投标人须知”第 1.4.3 项规定的任何一种情形的；</w:t>
      </w:r>
    </w:p>
    <w:p>
      <w:pPr>
        <w:spacing w:line="400" w:lineRule="exact"/>
        <w:ind w:firstLine="480" w:firstLineChars="200"/>
        <w:rPr>
          <w:rFonts w:ascii="宋体" w:hAnsi="宋体"/>
          <w:sz w:val="24"/>
        </w:rPr>
      </w:pPr>
      <w:r>
        <w:rPr>
          <w:rFonts w:ascii="宋体" w:hAnsi="宋体"/>
          <w:sz w:val="24"/>
        </w:rPr>
        <w:t>（2）串通投标或弄虚作假或有其他违法行为的；</w:t>
      </w:r>
    </w:p>
    <w:p>
      <w:pPr>
        <w:spacing w:line="400" w:lineRule="exact"/>
        <w:ind w:firstLine="480" w:firstLineChars="200"/>
        <w:rPr>
          <w:rFonts w:ascii="宋体" w:hAnsi="宋体"/>
          <w:sz w:val="24"/>
        </w:rPr>
      </w:pPr>
      <w:r>
        <w:rPr>
          <w:rFonts w:ascii="宋体" w:hAnsi="宋体"/>
          <w:sz w:val="24"/>
        </w:rPr>
        <w:t>（3）不按评标委员会要求澄清、说明或补正的。</w:t>
      </w:r>
    </w:p>
    <w:p>
      <w:pPr>
        <w:spacing w:line="400" w:lineRule="exact"/>
        <w:ind w:firstLine="480" w:firstLineChars="200"/>
        <w:rPr>
          <w:rFonts w:ascii="宋体" w:hAnsi="宋体"/>
          <w:sz w:val="24"/>
        </w:rPr>
      </w:pPr>
      <w:r>
        <w:rPr>
          <w:rFonts w:ascii="宋体" w:hAnsi="宋体"/>
          <w:sz w:val="24"/>
        </w:rPr>
        <w:t>3.1.3投标报价有算术错误的，评标委员会按以下原则对投标报价进行修正，修正的价格经投标人书面确认后具有约束力。投标人不接受修正价格的，其投标作</w:t>
      </w:r>
      <w:r>
        <w:rPr>
          <w:rFonts w:hint="eastAsia" w:ascii="宋体" w:hAnsi="宋体"/>
          <w:sz w:val="24"/>
        </w:rPr>
        <w:t>无效投标</w:t>
      </w:r>
      <w:r>
        <w:rPr>
          <w:rFonts w:ascii="宋体" w:hAnsi="宋体"/>
          <w:sz w:val="24"/>
        </w:rPr>
        <w:t>处理</w:t>
      </w:r>
      <w:r>
        <w:rPr>
          <w:rFonts w:hint="eastAsia" w:ascii="宋体" w:hAnsi="宋体"/>
          <w:sz w:val="24"/>
        </w:rPr>
        <w:t>，并没收其投标担保。</w:t>
      </w:r>
    </w:p>
    <w:p>
      <w:pPr>
        <w:spacing w:line="400" w:lineRule="exact"/>
        <w:ind w:firstLine="480" w:firstLineChars="200"/>
        <w:rPr>
          <w:rFonts w:ascii="宋体" w:hAnsi="宋体"/>
          <w:sz w:val="24"/>
        </w:rPr>
      </w:pPr>
      <w:r>
        <w:rPr>
          <w:rFonts w:ascii="宋体" w:hAnsi="宋体"/>
          <w:sz w:val="24"/>
        </w:rPr>
        <w:t>（1）投标文件中的大写金额与小写金额不一致的，以大写金额为准；</w:t>
      </w:r>
    </w:p>
    <w:p>
      <w:pPr>
        <w:spacing w:line="400" w:lineRule="exact"/>
        <w:ind w:firstLine="480" w:firstLineChars="200"/>
        <w:rPr>
          <w:rFonts w:hint="eastAsia" w:ascii="宋体" w:hAnsi="宋体"/>
          <w:sz w:val="24"/>
        </w:rPr>
      </w:pPr>
      <w:r>
        <w:rPr>
          <w:rFonts w:ascii="宋体" w:hAnsi="宋体"/>
          <w:sz w:val="24"/>
        </w:rPr>
        <w:t>（2）总价金额与依据单价计算出的结果不一致的，以单价金额为准修正总价，但单价金额小数点有明显错误的除外</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（3）当单价与数量相乘不等于合价时，以单价计算为准，如果单价有明显的小数点位置差错，应以标出的合价为准，同时对单价予以修正；</w:t>
      </w:r>
    </w:p>
    <w:p>
      <w:pPr>
        <w:spacing w:line="400" w:lineRule="exact"/>
        <w:ind w:firstLine="480" w:firstLineChars="200"/>
        <w:rPr>
          <w:rFonts w:hint="eastAsia" w:ascii="宋体" w:hAnsi="宋体"/>
          <w:sz w:val="24"/>
        </w:rPr>
      </w:pPr>
      <w:r>
        <w:rPr>
          <w:rFonts w:hint="eastAsia" w:ascii="宋体" w:hAnsi="宋体"/>
          <w:sz w:val="24"/>
        </w:rPr>
        <w:t>（4）当各子目的合价累计不等于总价时，应以各子目合价累计数为准，修正总价。</w:t>
      </w:r>
    </w:p>
    <w:p>
      <w:pPr>
        <w:spacing w:line="400" w:lineRule="exact"/>
        <w:ind w:firstLine="480" w:firstLineChars="200"/>
        <w:rPr>
          <w:rFonts w:hint="eastAsia" w:ascii="宋体" w:hAnsi="宋体"/>
          <w:sz w:val="24"/>
        </w:rPr>
      </w:pPr>
      <w:r>
        <w:rPr>
          <w:rFonts w:hint="eastAsia" w:ascii="宋体" w:hAnsi="宋体"/>
          <w:sz w:val="24"/>
        </w:rPr>
        <w:t>3.1.4 修正后的最终投标报价若超过投标控制价上限（如有），投标人的投标文件作无效投标处理。</w:t>
      </w:r>
    </w:p>
    <w:p>
      <w:pPr>
        <w:spacing w:line="400" w:lineRule="exact"/>
        <w:ind w:firstLine="480" w:firstLineChars="200"/>
        <w:rPr>
          <w:rFonts w:hint="eastAsia" w:ascii="宋体" w:hAnsi="宋体"/>
          <w:sz w:val="24"/>
        </w:rPr>
      </w:pPr>
      <w:r>
        <w:rPr>
          <w:rFonts w:hint="eastAsia" w:ascii="宋体" w:hAnsi="宋体"/>
          <w:sz w:val="24"/>
        </w:rPr>
        <w:t>3.1.5修正后的最终投标报价仅作为签订合同的一个依据，不参与评标价得分的计算。</w:t>
      </w:r>
    </w:p>
    <w:p>
      <w:pPr>
        <w:rPr>
          <w:rFonts w:ascii="宋体" w:hAnsi="宋体"/>
          <w:sz w:val="24"/>
        </w:rPr>
      </w:pPr>
      <w:r>
        <w:rPr>
          <w:rFonts w:ascii="宋体" w:hAnsi="宋体"/>
          <w:sz w:val="24"/>
        </w:rPr>
        <w:t>3.2 详细评审</w:t>
      </w:r>
    </w:p>
    <w:p>
      <w:pPr>
        <w:spacing w:line="400" w:lineRule="exact"/>
        <w:ind w:firstLine="480" w:firstLineChars="200"/>
        <w:rPr>
          <w:rFonts w:ascii="宋体" w:hAnsi="宋体"/>
          <w:sz w:val="24"/>
        </w:rPr>
      </w:pPr>
      <w:r>
        <w:rPr>
          <w:rFonts w:ascii="宋体" w:hAnsi="宋体"/>
          <w:sz w:val="24"/>
        </w:rPr>
        <w:t>3.2.1 评标委员会按本章第2.2款规定的量化因素和分值进行打分，并计算出综合评估得分。</w:t>
      </w:r>
    </w:p>
    <w:p>
      <w:pPr>
        <w:spacing w:line="400" w:lineRule="exact"/>
        <w:ind w:firstLine="480" w:firstLineChars="200"/>
        <w:rPr>
          <w:rFonts w:ascii="宋体" w:hAnsi="宋体"/>
          <w:sz w:val="24"/>
        </w:rPr>
      </w:pPr>
      <w:r>
        <w:rPr>
          <w:rFonts w:ascii="宋体" w:hAnsi="宋体"/>
          <w:sz w:val="24"/>
        </w:rPr>
        <w:t>（1）按本章第 2.2.4（1）目规定的评审因素和分值对</w:t>
      </w:r>
      <w:r>
        <w:rPr>
          <w:rFonts w:hint="eastAsia" w:ascii="宋体" w:hAnsi="宋体"/>
          <w:sz w:val="24"/>
          <w:lang w:val="en-US" w:eastAsia="zh-CN"/>
        </w:rPr>
        <w:t>服务建议书</w:t>
      </w:r>
      <w:r>
        <w:rPr>
          <w:rFonts w:ascii="宋体" w:hAnsi="宋体"/>
          <w:sz w:val="24"/>
        </w:rPr>
        <w:t>计算出得分 A；</w:t>
      </w:r>
    </w:p>
    <w:p>
      <w:pPr>
        <w:spacing w:line="400" w:lineRule="exact"/>
        <w:ind w:firstLine="480" w:firstLineChars="200"/>
        <w:rPr>
          <w:rFonts w:ascii="宋体" w:hAnsi="宋体"/>
          <w:sz w:val="24"/>
        </w:rPr>
      </w:pPr>
      <w:r>
        <w:rPr>
          <w:rFonts w:ascii="宋体" w:hAnsi="宋体"/>
          <w:sz w:val="24"/>
        </w:rPr>
        <w:t>（2）按本章第 2.2.4（2）目规定的评审因素和分值对</w:t>
      </w:r>
      <w:r>
        <w:rPr>
          <w:rFonts w:hint="eastAsia" w:ascii="宋体" w:hAnsi="宋体"/>
          <w:sz w:val="24"/>
        </w:rPr>
        <w:t>拟投入本项目的人员资格和能力</w:t>
      </w:r>
      <w:r>
        <w:rPr>
          <w:rFonts w:ascii="宋体" w:hAnsi="宋体"/>
          <w:sz w:val="24"/>
        </w:rPr>
        <w:t>计算出得分 B；</w:t>
      </w:r>
    </w:p>
    <w:p>
      <w:pPr>
        <w:spacing w:line="400" w:lineRule="exact"/>
        <w:ind w:firstLine="480" w:firstLineChars="200"/>
        <w:rPr>
          <w:rFonts w:ascii="宋体" w:hAnsi="宋体"/>
          <w:sz w:val="24"/>
        </w:rPr>
      </w:pPr>
      <w:r>
        <w:rPr>
          <w:rFonts w:ascii="宋体" w:hAnsi="宋体"/>
          <w:sz w:val="24"/>
        </w:rPr>
        <w:t>（3）按本章第 2.2.4（3）目规定的评审因素和分值对</w:t>
      </w:r>
      <w:r>
        <w:rPr>
          <w:rFonts w:hint="eastAsia" w:ascii="宋体" w:hAnsi="宋体"/>
          <w:sz w:val="24"/>
        </w:rPr>
        <w:t>投标人与本项目相关的具体业绩</w:t>
      </w:r>
      <w:r>
        <w:rPr>
          <w:rFonts w:hint="eastAsia" w:ascii="宋体" w:hAnsi="宋体"/>
          <w:sz w:val="24"/>
          <w:lang w:val="en-US" w:eastAsia="zh-CN"/>
        </w:rPr>
        <w:t>及企业信誉</w:t>
      </w:r>
      <w:r>
        <w:rPr>
          <w:rFonts w:ascii="宋体" w:hAnsi="宋体"/>
          <w:sz w:val="24"/>
        </w:rPr>
        <w:t>计算出得分 C；</w:t>
      </w:r>
    </w:p>
    <w:p>
      <w:pPr>
        <w:spacing w:line="400" w:lineRule="exact"/>
        <w:ind w:firstLine="480" w:firstLineChars="200"/>
        <w:rPr>
          <w:rFonts w:ascii="宋体" w:hAnsi="宋体"/>
          <w:sz w:val="24"/>
        </w:rPr>
      </w:pPr>
      <w:r>
        <w:rPr>
          <w:rFonts w:ascii="宋体" w:hAnsi="宋体"/>
          <w:sz w:val="24"/>
        </w:rPr>
        <w:t>（4）按本章第 2.2.4（4）目规定的评审因素和分值对投标报价计算出得分 D。</w:t>
      </w:r>
    </w:p>
    <w:p>
      <w:pPr>
        <w:spacing w:line="400" w:lineRule="exact"/>
        <w:ind w:firstLine="480" w:firstLineChars="200"/>
        <w:rPr>
          <w:rFonts w:ascii="宋体" w:hAnsi="宋体"/>
          <w:sz w:val="24"/>
        </w:rPr>
      </w:pPr>
      <w:r>
        <w:rPr>
          <w:rFonts w:ascii="宋体" w:hAnsi="宋体"/>
          <w:sz w:val="24"/>
        </w:rPr>
        <w:t>3.2.2 评分分值计算保留小数点后两位，小数点后第三位“四舍五入”。</w:t>
      </w:r>
    </w:p>
    <w:p>
      <w:pPr>
        <w:spacing w:line="400" w:lineRule="exact"/>
        <w:ind w:firstLine="480" w:firstLineChars="200"/>
        <w:rPr>
          <w:rFonts w:ascii="宋体" w:hAnsi="宋体"/>
          <w:sz w:val="24"/>
        </w:rPr>
      </w:pPr>
      <w:r>
        <w:rPr>
          <w:rFonts w:ascii="宋体" w:hAnsi="宋体"/>
          <w:sz w:val="24"/>
        </w:rPr>
        <w:t>3.2.3 投标人得分=A+B+C+D。</w:t>
      </w:r>
    </w:p>
    <w:p>
      <w:pPr>
        <w:spacing w:line="400" w:lineRule="exact"/>
        <w:ind w:firstLine="480" w:firstLineChars="200"/>
        <w:rPr>
          <w:rFonts w:ascii="宋体" w:hAnsi="宋体"/>
          <w:sz w:val="24"/>
        </w:rPr>
      </w:pPr>
      <w:r>
        <w:rPr>
          <w:rFonts w:ascii="宋体" w:hAnsi="宋体"/>
          <w:sz w:val="24"/>
        </w:rPr>
        <w:t>3.2.4 评标委员会发现投标人的报价明显低于其他投标报价，或者在设有标底时明显低于标底，使得其投标报价可能低于其个别成本的，应当要求该投标人</w:t>
      </w:r>
      <w:r>
        <w:rPr>
          <w:rFonts w:hint="eastAsia" w:ascii="宋体" w:hAnsi="宋体"/>
          <w:sz w:val="24"/>
          <w:lang w:val="en-US" w:eastAsia="zh-CN"/>
        </w:rPr>
        <w:t>在规定时间内</w:t>
      </w:r>
      <w:r>
        <w:rPr>
          <w:rFonts w:ascii="宋体" w:hAnsi="宋体"/>
          <w:sz w:val="24"/>
        </w:rPr>
        <w:t>作出书面说明并提供相应的证明材料。投标人不能合理说明或者不能提供相应证明材料的，由评标委员会认定该投标人以低于成本报价竞标，其投标作</w:t>
      </w:r>
      <w:r>
        <w:rPr>
          <w:rFonts w:hint="eastAsia" w:ascii="宋体" w:hAnsi="宋体"/>
          <w:sz w:val="24"/>
        </w:rPr>
        <w:t>无效投标</w:t>
      </w:r>
      <w:r>
        <w:rPr>
          <w:rFonts w:ascii="宋体" w:hAnsi="宋体"/>
          <w:sz w:val="24"/>
        </w:rPr>
        <w:t>处理。</w:t>
      </w:r>
    </w:p>
    <w:p>
      <w:pPr>
        <w:rPr>
          <w:rFonts w:ascii="宋体" w:hAnsi="宋体"/>
          <w:sz w:val="24"/>
        </w:rPr>
      </w:pPr>
      <w:r>
        <w:rPr>
          <w:rFonts w:ascii="宋体" w:hAnsi="宋体"/>
          <w:sz w:val="24"/>
        </w:rPr>
        <w:t>3.3 投标文件的澄清和补正</w:t>
      </w:r>
    </w:p>
    <w:p>
      <w:pPr>
        <w:spacing w:line="400" w:lineRule="exact"/>
        <w:ind w:firstLine="480" w:firstLineChars="200"/>
        <w:rPr>
          <w:rFonts w:ascii="宋体" w:hAnsi="宋体"/>
          <w:sz w:val="24"/>
        </w:rPr>
      </w:pPr>
      <w:r>
        <w:rPr>
          <w:rFonts w:ascii="宋体" w:hAnsi="宋体"/>
          <w:sz w:val="24"/>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80" w:firstLineChars="200"/>
        <w:rPr>
          <w:rFonts w:ascii="宋体" w:hAnsi="宋体"/>
          <w:sz w:val="24"/>
        </w:rPr>
      </w:pPr>
      <w:r>
        <w:rPr>
          <w:rFonts w:ascii="宋体" w:hAnsi="宋体"/>
          <w:sz w:val="24"/>
        </w:rPr>
        <w:t>3.3.2 澄清、说明和补正不得改变投标文件的实质性内容（算术性错误修正的除外）。投标人的书面澄清、说明和补正属于投标文件的组成部分。</w:t>
      </w:r>
    </w:p>
    <w:p>
      <w:pPr>
        <w:spacing w:line="400" w:lineRule="exact"/>
        <w:ind w:firstLine="480" w:firstLineChars="200"/>
        <w:rPr>
          <w:rFonts w:hint="eastAsia" w:ascii="宋体" w:hAnsi="宋体"/>
          <w:sz w:val="24"/>
        </w:rPr>
      </w:pPr>
      <w:r>
        <w:rPr>
          <w:rFonts w:ascii="宋体" w:hAnsi="宋体"/>
          <w:sz w:val="24"/>
        </w:rPr>
        <w:t>3.3.3 评标委员会对投标人提交的澄清、说明或补正有疑问的，可以要求投标人进一步澄清、说明或补正，直至满足评标委员会的要求。</w:t>
      </w:r>
    </w:p>
    <w:p>
      <w:pPr>
        <w:spacing w:line="400" w:lineRule="exact"/>
        <w:ind w:firstLine="480" w:firstLineChars="200"/>
        <w:rPr>
          <w:rFonts w:hint="eastAsia" w:ascii="宋体" w:hAnsi="宋体"/>
          <w:sz w:val="24"/>
        </w:rPr>
      </w:pPr>
      <w:r>
        <w:rPr>
          <w:rFonts w:hint="eastAsia" w:ascii="宋体" w:hAnsi="宋体"/>
          <w:sz w:val="24"/>
        </w:rPr>
        <w:t>3.3.4 凡超出招标文件规定的或给招标人带来未曾要求的利益的变化、偏差或其他因素在评标时不予考虑。</w:t>
      </w:r>
    </w:p>
    <w:p>
      <w:pPr>
        <w:rPr>
          <w:rFonts w:ascii="宋体" w:hAnsi="宋体"/>
          <w:sz w:val="24"/>
        </w:rPr>
      </w:pPr>
      <w:r>
        <w:rPr>
          <w:rFonts w:ascii="宋体" w:hAnsi="宋体"/>
          <w:sz w:val="24"/>
        </w:rPr>
        <w:t>3.4 评标结果</w:t>
      </w:r>
    </w:p>
    <w:p>
      <w:pPr>
        <w:spacing w:line="400" w:lineRule="exact"/>
        <w:ind w:firstLine="480" w:firstLineChars="200"/>
        <w:rPr>
          <w:rFonts w:ascii="宋体" w:hAnsi="宋体"/>
          <w:sz w:val="24"/>
        </w:rPr>
      </w:pPr>
      <w:r>
        <w:rPr>
          <w:rFonts w:ascii="宋体" w:hAnsi="宋体"/>
          <w:sz w:val="24"/>
        </w:rPr>
        <w:t>3.4.1 除第二章“投标人须知”前附表授权直接确定中标人外，评标委员会按照得分由高到低的顺序推荐中标候选人。</w:t>
      </w:r>
    </w:p>
    <w:p>
      <w:pPr>
        <w:spacing w:line="400" w:lineRule="exact"/>
        <w:ind w:firstLine="480" w:firstLineChars="200"/>
        <w:rPr>
          <w:rFonts w:ascii="宋体" w:hAnsi="宋体"/>
          <w:sz w:val="24"/>
        </w:rPr>
      </w:pPr>
      <w:r>
        <w:rPr>
          <w:rFonts w:ascii="宋体" w:hAnsi="宋体"/>
          <w:sz w:val="24"/>
        </w:rPr>
        <w:t>3.4.2 评标委员会完成评标后，应当向招标人提交书面评标报告。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41E2310F"/>
    <w:rsid w:val="621E45DC"/>
    <w:rsid w:val="75060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4">
    <w:name w:val="Normal Indent"/>
    <w:basedOn w:val="1"/>
    <w:next w:val="5"/>
    <w:qFormat/>
    <w:uiPriority w:val="0"/>
    <w:pPr>
      <w:ind w:firstLine="420"/>
    </w:pPr>
    <w:rPr>
      <w:rFonts w:ascii="宋体" w:hAnsi="宋体"/>
      <w:sz w:val="24"/>
    </w:rPr>
  </w:style>
  <w:style w:type="paragraph" w:customStyle="1" w:styleId="5">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6">
    <w:name w:val="Body Text"/>
    <w:basedOn w:val="1"/>
    <w:next w:val="7"/>
    <w:qFormat/>
    <w:uiPriority w:val="0"/>
    <w:rPr>
      <w:rFonts w:ascii="宋体" w:hAnsi="宋体"/>
      <w:sz w:val="24"/>
    </w:rPr>
  </w:style>
  <w:style w:type="paragraph" w:styleId="7">
    <w:name w:val="Body Text 2"/>
    <w:basedOn w:val="1"/>
    <w:next w:val="1"/>
    <w:qFormat/>
    <w:uiPriority w:val="0"/>
    <w:rPr>
      <w:sz w:val="28"/>
      <w:szCs w:val="20"/>
    </w:rPr>
  </w:style>
  <w:style w:type="paragraph" w:styleId="8">
    <w:name w:val="Body Text Indent"/>
    <w:basedOn w:val="1"/>
    <w:next w:val="4"/>
    <w:qFormat/>
    <w:uiPriority w:val="0"/>
    <w:pPr>
      <w:spacing w:line="360" w:lineRule="auto"/>
      <w:ind w:firstLine="480" w:firstLineChars="200"/>
    </w:pPr>
    <w:rPr>
      <w:rFonts w:ascii="宋体" w:hAnsi="宋体"/>
      <w:sz w:val="24"/>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1">
    <w:name w:val="Body Text First Indent 2"/>
    <w:basedOn w:val="8"/>
    <w:qFormat/>
    <w:uiPriority w:val="0"/>
    <w:pPr>
      <w:ind w:firstLine="420" w:firstLineChars="200"/>
    </w:pPr>
  </w:style>
  <w:style w:type="paragraph" w:customStyle="1" w:styleId="14">
    <w:name w:val="目录3"/>
    <w:basedOn w:val="1"/>
    <w:qFormat/>
    <w:uiPriority w:val="0"/>
    <w:pPr>
      <w:spacing w:before="156" w:beforeLines="50" w:after="156" w:afterLines="50" w:line="400" w:lineRule="exact"/>
    </w:pPr>
    <w:rPr>
      <w:rFonts w:ascii="黑体" w:eastAsia="黑体"/>
      <w:sz w:val="24"/>
    </w:rPr>
  </w:style>
  <w:style w:type="paragraph" w:styleId="15">
    <w:name w:val="List Paragraph"/>
    <w:basedOn w:val="1"/>
    <w:qFormat/>
    <w:uiPriority w:val="34"/>
    <w:pPr>
      <w:ind w:firstLine="420" w:firstLineChars="200"/>
    </w:pPr>
    <w:rPr>
      <w:rFonts w:ascii="Calibri" w:hAnsi="Calibri" w:eastAsia="宋体" w:cs="Times New Roman"/>
      <w:szCs w:val="22"/>
    </w:rPr>
  </w:style>
  <w:style w:type="character" w:customStyle="1" w:styleId="16">
    <w:name w:val="目录4 Char"/>
    <w:qFormat/>
    <w:uiPriority w:val="0"/>
    <w:rPr>
      <w:rFonts w:ascii="黑体" w:eastAsia="黑体"/>
      <w:kern w:val="2"/>
      <w:sz w:val="24"/>
      <w:szCs w:val="24"/>
      <w:lang w:val="en-US" w:eastAsia="zh-CN" w:bidi="ar-SA"/>
    </w:rPr>
  </w:style>
  <w:style w:type="character" w:customStyle="1" w:styleId="17">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7804</Words>
  <Characters>8371</Characters>
  <Lines>0</Lines>
  <Paragraphs>0</Paragraphs>
  <TotalTime>3</TotalTime>
  <ScaleCrop>false</ScaleCrop>
  <LinksUpToDate>false</LinksUpToDate>
  <CharactersWithSpaces>8483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2022-08-28T17:38:00Z</dcterms:created>
  <dc:creator>田儿</dc:creator>
  <cp:lastModifiedBy>招标管理办公室</cp:lastModifiedBy>
  <dcterms:modified xsi:type="dcterms:W3CDTF">2022-08-29T01:56:08Z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7910C3D42B10472491AA0BA1C32154E2</vt:lpwstr>
  </property>
</Properties>
</file>