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jc w:val="center"/>
        <w:rPr>
          <w:rFonts w:hint="eastAsia" w:ascii="宋体" w:hAnsi="宋体" w:cs="宋体"/>
          <w:b/>
          <w:sz w:val="24"/>
          <w:szCs w:val="24"/>
          <w:lang w:bidi="ar"/>
        </w:rPr>
      </w:pPr>
      <w:bookmarkStart w:id="0" w:name="_GoBack"/>
      <w:bookmarkEnd w:id="0"/>
      <w:r>
        <w:rPr>
          <w:rFonts w:hint="eastAsia" w:ascii="宋体" w:hAnsi="宋体" w:cs="宋体"/>
          <w:b/>
          <w:sz w:val="24"/>
          <w:szCs w:val="24"/>
          <w:lang w:bidi="ar"/>
        </w:rPr>
        <w:t>附录1 资格审查条件（资质最低要求）</w:t>
      </w:r>
    </w:p>
    <w:tbl>
      <w:tblPr>
        <w:tblStyle w:val="7"/>
        <w:tblW w:w="92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304"/>
        <w:gridCol w:w="79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38" w:hRule="atLeast"/>
          <w:tblHeader/>
        </w:trPr>
        <w:tc>
          <w:tcPr>
            <w:tcW w:w="1304" w:type="dxa"/>
            <w:noWrap w:val="0"/>
            <w:vAlign w:val="center"/>
          </w:tcPr>
          <w:p>
            <w:pPr>
              <w:wordWrap w:val="0"/>
              <w:adjustRightInd w:val="0"/>
              <w:snapToGrid w:val="0"/>
              <w:jc w:val="center"/>
              <w:rPr>
                <w:rFonts w:ascii="宋体" w:hAnsi="宋体" w:cs="宋体"/>
                <w:b/>
                <w:bCs/>
                <w:kern w:val="0"/>
                <w:szCs w:val="21"/>
                <w:shd w:val="clear" w:color="auto" w:fill="FFFFFF"/>
                <w:lang w:eastAsia="en-US"/>
              </w:rPr>
            </w:pPr>
            <w:r>
              <w:rPr>
                <w:rFonts w:hint="eastAsia" w:ascii="宋体" w:hAnsi="宋体" w:cs="宋体"/>
                <w:b/>
                <w:bCs/>
                <w:kern w:val="0"/>
                <w:szCs w:val="21"/>
                <w:shd w:val="clear" w:color="auto" w:fill="FFFFFF"/>
                <w:lang w:eastAsia="en-US"/>
              </w:rPr>
              <w:t>投标人身份</w:t>
            </w:r>
          </w:p>
        </w:tc>
        <w:tc>
          <w:tcPr>
            <w:tcW w:w="7938" w:type="dxa"/>
            <w:noWrap w:val="0"/>
            <w:vAlign w:val="center"/>
          </w:tcPr>
          <w:p>
            <w:pPr>
              <w:wordWrap w:val="0"/>
              <w:adjustRightInd w:val="0"/>
              <w:snapToGrid w:val="0"/>
              <w:jc w:val="center"/>
              <w:rPr>
                <w:rFonts w:ascii="宋体" w:hAnsi="宋体" w:cs="宋体"/>
                <w:b/>
                <w:bCs/>
                <w:kern w:val="0"/>
                <w:szCs w:val="21"/>
                <w:shd w:val="clear" w:color="auto" w:fill="FFFFFF"/>
                <w:lang w:eastAsia="en-US"/>
              </w:rPr>
            </w:pPr>
            <w:r>
              <w:rPr>
                <w:rFonts w:hint="eastAsia" w:ascii="宋体" w:hAnsi="宋体" w:cs="宋体"/>
                <w:b/>
                <w:bCs/>
                <w:kern w:val="0"/>
                <w:szCs w:val="21"/>
                <w:shd w:val="clear" w:color="auto" w:fill="FFFFFF"/>
                <w:lang w:eastAsia="en-US"/>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27" w:hRule="atLeast"/>
        </w:trPr>
        <w:tc>
          <w:tcPr>
            <w:tcW w:w="1304" w:type="dxa"/>
            <w:noWrap w:val="0"/>
            <w:vAlign w:val="center"/>
          </w:tcPr>
          <w:p>
            <w:pPr>
              <w:wordWrap w:val="0"/>
              <w:adjustRightInd w:val="0"/>
              <w:snapToGrid w:val="0"/>
              <w:jc w:val="center"/>
              <w:rPr>
                <w:rFonts w:ascii="宋体" w:hAnsi="宋体"/>
                <w:kern w:val="0"/>
                <w:szCs w:val="21"/>
                <w:shd w:val="clear" w:color="auto" w:fill="FFFFFF"/>
                <w:lang w:eastAsia="en-US"/>
              </w:rPr>
            </w:pPr>
            <w:r>
              <w:rPr>
                <w:rFonts w:hint="eastAsia" w:ascii="宋体" w:hAnsi="宋体"/>
                <w:kern w:val="0"/>
                <w:szCs w:val="21"/>
                <w:shd w:val="clear" w:color="auto" w:fill="FFFFFF"/>
                <w:lang w:eastAsia="en-US"/>
              </w:rPr>
              <w:t>制造商</w:t>
            </w:r>
          </w:p>
        </w:tc>
        <w:tc>
          <w:tcPr>
            <w:tcW w:w="7938" w:type="dxa"/>
            <w:noWrap w:val="0"/>
            <w:vAlign w:val="center"/>
          </w:tcPr>
          <w:p>
            <w:pPr>
              <w:adjustRightInd w:val="0"/>
              <w:snapToGrid w:val="0"/>
              <w:jc w:val="left"/>
              <w:rPr>
                <w:rFonts w:ascii="宋体" w:hAnsi="宋体"/>
                <w:kern w:val="0"/>
                <w:szCs w:val="21"/>
                <w:shd w:val="clear" w:color="auto" w:fill="FFFFFF"/>
              </w:rPr>
            </w:pPr>
            <w:r>
              <w:rPr>
                <w:rFonts w:hint="eastAsia" w:ascii="宋体" w:hAnsi="宋体"/>
                <w:kern w:val="0"/>
                <w:szCs w:val="21"/>
                <w:shd w:val="clear" w:color="auto" w:fill="FFFFFF"/>
              </w:rPr>
              <w:t>投标人应为在中华人民共和国境内注册的具有独立法人资格的制造商，可以是国产设备制造商或进口设备制造商的中国销售公司（总代理），持有有效的营业执照。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27" w:hRule="atLeast"/>
        </w:trPr>
        <w:tc>
          <w:tcPr>
            <w:tcW w:w="1304" w:type="dxa"/>
            <w:noWrap w:val="0"/>
            <w:vAlign w:val="center"/>
          </w:tcPr>
          <w:p>
            <w:pPr>
              <w:wordWrap w:val="0"/>
              <w:adjustRightInd w:val="0"/>
              <w:snapToGrid w:val="0"/>
              <w:jc w:val="center"/>
              <w:rPr>
                <w:rFonts w:ascii="宋体" w:hAnsi="宋体" w:cs="宋体"/>
                <w:kern w:val="0"/>
                <w:szCs w:val="21"/>
                <w:highlight w:val="none"/>
                <w:shd w:val="clear" w:color="auto" w:fill="FFFFFF"/>
                <w:lang w:eastAsia="en-US"/>
              </w:rPr>
            </w:pPr>
            <w:r>
              <w:rPr>
                <w:rFonts w:hint="eastAsia" w:ascii="宋体" w:hAnsi="宋体" w:cs="宋体"/>
                <w:kern w:val="0"/>
                <w:szCs w:val="21"/>
                <w:highlight w:val="none"/>
                <w:shd w:val="clear" w:color="auto" w:fill="FFFFFF"/>
                <w:lang w:eastAsia="en-US"/>
              </w:rPr>
              <w:t>代理商</w:t>
            </w:r>
          </w:p>
        </w:tc>
        <w:tc>
          <w:tcPr>
            <w:tcW w:w="7938" w:type="dxa"/>
            <w:noWrap w:val="0"/>
            <w:vAlign w:val="center"/>
          </w:tcPr>
          <w:p>
            <w:pPr>
              <w:wordWrap w:val="0"/>
              <w:adjustRightInd w:val="0"/>
              <w:snapToGrid w:val="0"/>
              <w:jc w:val="left"/>
              <w:rPr>
                <w:rFonts w:ascii="宋体" w:hAnsi="宋体"/>
                <w:kern w:val="0"/>
                <w:szCs w:val="21"/>
                <w:highlight w:val="none"/>
                <w:shd w:val="clear" w:color="auto" w:fill="FFFFFF"/>
              </w:rPr>
            </w:pPr>
            <w:r>
              <w:rPr>
                <w:rFonts w:hint="eastAsia" w:ascii="宋体" w:hAnsi="宋体"/>
                <w:kern w:val="0"/>
                <w:szCs w:val="21"/>
                <w:highlight w:val="none"/>
                <w:shd w:val="clear" w:color="auto" w:fill="FFFFFF"/>
              </w:rPr>
              <w:t>投标人应为在中华人民共和国境内注册的具有独立法人资格的代理商</w:t>
            </w:r>
            <w:r>
              <w:rPr>
                <w:rFonts w:ascii="宋体" w:hAnsi="宋体"/>
                <w:kern w:val="0"/>
                <w:szCs w:val="21"/>
                <w:highlight w:val="none"/>
                <w:shd w:val="clear" w:color="auto" w:fill="FFFFFF"/>
              </w:rPr>
              <w:t>，</w:t>
            </w:r>
            <w:r>
              <w:rPr>
                <w:rFonts w:hint="eastAsia" w:ascii="宋体" w:hAnsi="宋体"/>
                <w:kern w:val="0"/>
                <w:szCs w:val="21"/>
                <w:highlight w:val="none"/>
                <w:shd w:val="clear" w:color="auto" w:fill="FFFFFF"/>
              </w:rPr>
              <w:t>具有设备制造商针对于本项目</w:t>
            </w:r>
            <w:r>
              <w:rPr>
                <w:rFonts w:hint="eastAsia" w:ascii="宋体" w:hAnsi="宋体" w:eastAsia="宋体" w:cs="宋体"/>
                <w:kern w:val="0"/>
                <w:szCs w:val="21"/>
                <w:highlight w:val="none"/>
                <w:shd w:val="clear" w:color="auto" w:fill="FFFFFF"/>
                <w:lang w:eastAsia="en-US"/>
              </w:rPr>
              <w:t>客房管理系统PMS</w:t>
            </w:r>
            <w:r>
              <w:rPr>
                <w:rFonts w:hint="eastAsia" w:ascii="宋体" w:hAnsi="宋体" w:eastAsia="宋体" w:cs="宋体"/>
                <w:kern w:val="0"/>
                <w:szCs w:val="21"/>
                <w:highlight w:val="none"/>
                <w:shd w:val="clear" w:color="auto" w:fill="FFFFFF"/>
                <w:lang w:val="en-US" w:eastAsia="zh-CN"/>
              </w:rPr>
              <w:t>的授权书</w:t>
            </w:r>
            <w:r>
              <w:rPr>
                <w:rFonts w:hint="eastAsia" w:ascii="宋体" w:hAnsi="宋体"/>
                <w:kern w:val="0"/>
                <w:szCs w:val="21"/>
                <w:highlight w:val="none"/>
                <w:shd w:val="clear" w:color="auto" w:fill="FFFFFF"/>
              </w:rPr>
              <w:t>，持有有效的营业执照。</w:t>
            </w:r>
          </w:p>
        </w:tc>
      </w:tr>
    </w:tbl>
    <w:p>
      <w:pPr>
        <w:wordWrap w:val="0"/>
        <w:adjustRightInd w:val="0"/>
        <w:snapToGrid w:val="0"/>
        <w:ind w:right="-932" w:rightChars="-444"/>
        <w:jc w:val="left"/>
        <w:rPr>
          <w:rFonts w:hint="eastAsia" w:ascii="宋体" w:hAnsi="宋体" w:eastAsia="宋体" w:cs="宋体"/>
          <w:kern w:val="0"/>
          <w:szCs w:val="21"/>
          <w:highlight w:val="none"/>
          <w:shd w:val="clear" w:color="auto" w:fill="FFFFFF"/>
          <w:lang w:eastAsia="en-US"/>
        </w:rPr>
      </w:pPr>
      <w:r>
        <w:rPr>
          <w:rFonts w:hint="eastAsia" w:ascii="宋体" w:hAnsi="宋体" w:eastAsia="宋体" w:cs="宋体"/>
          <w:kern w:val="0"/>
          <w:szCs w:val="21"/>
          <w:highlight w:val="none"/>
          <w:shd w:val="clear" w:color="auto" w:fill="FFFFFF"/>
          <w:lang w:eastAsia="en-US"/>
        </w:rPr>
        <w:t>注：</w:t>
      </w:r>
      <w:r>
        <w:rPr>
          <w:rFonts w:hint="eastAsia" w:ascii="宋体" w:hAnsi="宋体" w:eastAsia="宋体" w:cs="宋体"/>
          <w:kern w:val="0"/>
          <w:szCs w:val="21"/>
          <w:highlight w:val="none"/>
          <w:shd w:val="clear" w:color="auto" w:fill="FFFFFF"/>
          <w:lang w:val="en-US" w:eastAsia="zh-CN"/>
        </w:rPr>
        <w:t>1.</w:t>
      </w:r>
      <w:r>
        <w:rPr>
          <w:rFonts w:hint="eastAsia" w:ascii="宋体" w:hAnsi="宋体" w:eastAsia="宋体" w:cs="宋体"/>
          <w:kern w:val="0"/>
          <w:szCs w:val="21"/>
          <w:highlight w:val="none"/>
          <w:shd w:val="clear" w:color="auto" w:fill="FFFFFF"/>
          <w:lang w:eastAsia="en-US"/>
        </w:rPr>
        <w:t>同一品牌同一型号的设备，制造商或其授权代理商只能有一家参加投标，否则</w:t>
      </w:r>
      <w:r>
        <w:rPr>
          <w:rFonts w:hint="eastAsia" w:ascii="宋体" w:hAnsi="宋体" w:cs="宋体"/>
          <w:kern w:val="0"/>
          <w:szCs w:val="21"/>
          <w:highlight w:val="none"/>
          <w:shd w:val="clear" w:color="auto" w:fill="FFFFFF"/>
          <w:lang w:eastAsia="zh-CN"/>
        </w:rPr>
        <w:t>，</w:t>
      </w:r>
      <w:r>
        <w:rPr>
          <w:rFonts w:hint="eastAsia" w:ascii="宋体" w:hAnsi="宋体" w:cs="宋体"/>
          <w:kern w:val="0"/>
          <w:szCs w:val="21"/>
          <w:highlight w:val="none"/>
          <w:shd w:val="clear" w:color="auto" w:fill="FFFFFF"/>
          <w:lang w:val="en-US" w:eastAsia="zh-CN"/>
        </w:rPr>
        <w:t>相关投标均无效</w:t>
      </w:r>
      <w:r>
        <w:rPr>
          <w:rFonts w:hint="eastAsia" w:ascii="宋体" w:hAnsi="宋体" w:eastAsia="宋体" w:cs="宋体"/>
          <w:kern w:val="0"/>
          <w:szCs w:val="21"/>
          <w:highlight w:val="none"/>
          <w:shd w:val="clear" w:color="auto" w:fill="FFFFFF"/>
          <w:lang w:eastAsia="en-US"/>
        </w:rPr>
        <w:t>。</w:t>
      </w:r>
    </w:p>
    <w:p>
      <w:pPr>
        <w:wordWrap w:val="0"/>
        <w:adjustRightInd w:val="0"/>
        <w:snapToGrid w:val="0"/>
        <w:ind w:firstLine="630" w:firstLineChars="300"/>
        <w:jc w:val="left"/>
        <w:rPr>
          <w:rFonts w:hint="eastAsia" w:ascii="宋体" w:hAnsi="宋体" w:eastAsia="宋体" w:cs="宋体"/>
          <w:kern w:val="0"/>
          <w:szCs w:val="21"/>
          <w:highlight w:val="yellow"/>
          <w:shd w:val="clear" w:color="auto" w:fill="FFFFFF"/>
          <w:lang w:val="en-US" w:eastAsia="zh-CN"/>
        </w:rPr>
      </w:pPr>
      <w:r>
        <w:rPr>
          <w:rFonts w:hint="eastAsia" w:ascii="宋体" w:hAnsi="宋体" w:eastAsia="宋体" w:cs="宋体"/>
          <w:kern w:val="0"/>
          <w:szCs w:val="21"/>
          <w:highlight w:val="none"/>
          <w:shd w:val="clear" w:color="auto" w:fill="FFFFFF"/>
          <w:lang w:val="en-US" w:eastAsia="zh-CN"/>
        </w:rPr>
        <w:t>2.本项目设备主要参数为</w:t>
      </w:r>
      <w:r>
        <w:rPr>
          <w:rFonts w:hint="eastAsia" w:ascii="宋体" w:hAnsi="宋体" w:eastAsia="宋体" w:cs="宋体"/>
          <w:kern w:val="0"/>
          <w:szCs w:val="21"/>
          <w:highlight w:val="none"/>
          <w:shd w:val="clear" w:color="auto" w:fill="FFFFFF"/>
          <w:lang w:eastAsia="en-US"/>
        </w:rPr>
        <w:t>客房管理系统PMS</w:t>
      </w:r>
      <w:r>
        <w:rPr>
          <w:rFonts w:hint="eastAsia" w:ascii="宋体" w:hAnsi="宋体" w:eastAsia="宋体" w:cs="宋体"/>
          <w:kern w:val="0"/>
          <w:szCs w:val="21"/>
          <w:highlight w:val="none"/>
          <w:shd w:val="clear" w:color="auto" w:fill="FFFFFF"/>
          <w:lang w:eastAsia="zh-CN"/>
        </w:rPr>
        <w:t>。</w:t>
      </w:r>
    </w:p>
    <w:p>
      <w:pPr>
        <w:tabs>
          <w:tab w:val="left" w:pos="7754"/>
        </w:tabs>
        <w:spacing w:before="120" w:beforeLines="50" w:after="120" w:afterLines="50"/>
        <w:jc w:val="left"/>
        <w:rPr>
          <w:rFonts w:hint="eastAsia" w:ascii="宋体" w:hAnsi="宋体" w:cs="宋体"/>
          <w:b/>
          <w:sz w:val="24"/>
          <w:szCs w:val="24"/>
          <w:lang w:bidi="ar"/>
        </w:rPr>
      </w:pPr>
      <w:r>
        <w:rPr>
          <w:rFonts w:ascii="宋体" w:hAnsi="宋体" w:cs="宋体"/>
          <w:b/>
          <w:sz w:val="24"/>
          <w:szCs w:val="24"/>
          <w:lang w:bidi="ar"/>
        </w:rPr>
        <w:tab/>
      </w:r>
    </w:p>
    <w:p>
      <w:pPr>
        <w:spacing w:before="120" w:beforeLines="50" w:after="120" w:afterLines="50"/>
        <w:jc w:val="center"/>
        <w:rPr>
          <w:rFonts w:hint="eastAsia" w:ascii="宋体" w:hAnsi="宋体" w:cs="宋体"/>
          <w:b/>
          <w:sz w:val="24"/>
          <w:szCs w:val="24"/>
          <w:lang w:bidi="ar"/>
        </w:rPr>
      </w:pPr>
      <w:r>
        <w:rPr>
          <w:rFonts w:hint="eastAsia" w:ascii="宋体" w:hAnsi="宋体" w:cs="宋体"/>
          <w:b/>
          <w:sz w:val="24"/>
          <w:szCs w:val="24"/>
          <w:lang w:bidi="ar"/>
        </w:rPr>
        <w:t>附录2 资格审查条件（业绩最低要求）</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46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sz w:val="24"/>
                <w:szCs w:val="24"/>
              </w:rPr>
            </w:pPr>
            <w:r>
              <w:rPr>
                <w:rFonts w:hint="eastAsia" w:ascii="宋体" w:hAnsi="宋体" w:cs="宋体"/>
                <w:b/>
                <w:sz w:val="24"/>
                <w:szCs w:val="24"/>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8" w:hRule="atLeast"/>
        </w:trPr>
        <w:tc>
          <w:tcPr>
            <w:tcW w:w="94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28" w:firstLineChars="220"/>
              <w:rPr>
                <w:rFonts w:hint="default" w:ascii="宋体" w:hAnsi="宋体" w:eastAsia="宋体" w:cs="宋体"/>
                <w:sz w:val="24"/>
                <w:szCs w:val="24"/>
                <w:lang w:val="en-US" w:eastAsia="zh-CN" w:bidi="ar"/>
              </w:rPr>
            </w:pPr>
            <w:r>
              <w:rPr>
                <w:rFonts w:hint="eastAsia" w:ascii="宋体" w:hAnsi="宋体" w:cs="宋体"/>
                <w:sz w:val="24"/>
                <w:szCs w:val="24"/>
                <w:lang w:bidi="ar"/>
              </w:rPr>
              <w:t>近三年内（201</w:t>
            </w:r>
            <w:r>
              <w:rPr>
                <w:rFonts w:ascii="宋体" w:hAnsi="宋体" w:cs="宋体"/>
                <w:sz w:val="24"/>
                <w:szCs w:val="24"/>
                <w:lang w:bidi="ar"/>
              </w:rPr>
              <w:t>9</w:t>
            </w:r>
            <w:r>
              <w:rPr>
                <w:rFonts w:hint="eastAsia" w:ascii="宋体" w:hAnsi="宋体" w:cs="宋体"/>
                <w:sz w:val="24"/>
                <w:szCs w:val="24"/>
                <w:lang w:bidi="ar"/>
              </w:rPr>
              <w:t>年</w:t>
            </w:r>
            <w:r>
              <w:rPr>
                <w:rFonts w:hint="eastAsia" w:ascii="宋体" w:hAnsi="宋体" w:cs="宋体"/>
                <w:sz w:val="24"/>
                <w:szCs w:val="24"/>
                <w:lang w:val="en-US" w:eastAsia="zh-CN" w:bidi="ar"/>
              </w:rPr>
              <w:t>8</w:t>
            </w:r>
            <w:r>
              <w:rPr>
                <w:rFonts w:ascii="宋体" w:hAnsi="宋体" w:cs="宋体"/>
                <w:sz w:val="24"/>
                <w:szCs w:val="24"/>
                <w:lang w:bidi="ar"/>
              </w:rPr>
              <w:t>月1日</w:t>
            </w:r>
            <w:r>
              <w:rPr>
                <w:rFonts w:hint="eastAsia" w:ascii="宋体" w:hAnsi="宋体" w:cs="宋体"/>
                <w:sz w:val="24"/>
                <w:szCs w:val="24"/>
                <w:lang w:bidi="ar"/>
              </w:rPr>
              <w:t>至今，</w:t>
            </w:r>
            <w:r>
              <w:rPr>
                <w:rFonts w:hint="eastAsia" w:ascii="宋体" w:hAnsi="宋体" w:cs="宋体"/>
                <w:sz w:val="24"/>
                <w:szCs w:val="24"/>
                <w:lang w:val="en-US" w:eastAsia="zh-CN" w:bidi="ar"/>
              </w:rPr>
              <w:t>以合同签订时间</w:t>
            </w:r>
            <w:r>
              <w:rPr>
                <w:rFonts w:hint="eastAsia" w:ascii="宋体" w:hAnsi="宋体" w:cs="宋体"/>
                <w:sz w:val="24"/>
                <w:szCs w:val="24"/>
                <w:lang w:bidi="ar"/>
              </w:rPr>
              <w:t>为准），至少独立</w:t>
            </w:r>
            <w:r>
              <w:rPr>
                <w:rFonts w:hint="eastAsia" w:ascii="宋体" w:hAnsi="宋体" w:cs="宋体"/>
                <w:sz w:val="24"/>
                <w:szCs w:val="24"/>
                <w:lang w:val="en-US" w:eastAsia="zh-CN" w:bidi="ar"/>
              </w:rPr>
              <w:t>承揽</w:t>
            </w:r>
            <w:r>
              <w:rPr>
                <w:rFonts w:hint="eastAsia" w:ascii="宋体" w:hAnsi="宋体" w:cs="宋体"/>
                <w:sz w:val="24"/>
                <w:szCs w:val="24"/>
                <w:lang w:bidi="ar"/>
              </w:rPr>
              <w:t>过</w:t>
            </w:r>
            <w:r>
              <w:rPr>
                <w:rFonts w:hint="eastAsia" w:ascii="宋体" w:hAnsi="宋体" w:cs="宋体"/>
                <w:sz w:val="24"/>
                <w:szCs w:val="24"/>
                <w:lang w:val="en-US" w:eastAsia="zh-CN" w:bidi="ar"/>
              </w:rPr>
              <w:t>1项酒店管理系统的供货服务</w:t>
            </w:r>
            <w:r>
              <w:rPr>
                <w:rFonts w:hint="eastAsia" w:ascii="宋体" w:hAnsi="宋体" w:cs="宋体"/>
                <w:sz w:val="24"/>
                <w:szCs w:val="24"/>
                <w:lang w:bidi="ar"/>
              </w:rPr>
              <w:t>业绩。</w:t>
            </w:r>
            <w:r>
              <w:rPr>
                <w:rFonts w:hint="eastAsia" w:ascii="宋体" w:hAnsi="宋体" w:cs="宋体"/>
                <w:sz w:val="24"/>
                <w:szCs w:val="24"/>
                <w:lang w:eastAsia="zh-CN" w:bidi="ar"/>
              </w:rPr>
              <w:t>（</w:t>
            </w:r>
            <w:r>
              <w:rPr>
                <w:rFonts w:hint="eastAsia" w:ascii="宋体" w:hAnsi="宋体" w:cs="宋体"/>
                <w:sz w:val="24"/>
                <w:szCs w:val="24"/>
                <w:lang w:val="en-US" w:eastAsia="zh-CN" w:bidi="ar"/>
              </w:rPr>
              <w:t>如代理商投标，提供代理商或制造厂家的供货服务业绩均可</w:t>
            </w:r>
            <w:r>
              <w:rPr>
                <w:rFonts w:hint="eastAsia" w:ascii="宋体" w:hAnsi="宋体" w:cs="宋体"/>
                <w:sz w:val="24"/>
                <w:szCs w:val="24"/>
                <w:lang w:eastAsia="zh-CN" w:bidi="ar"/>
              </w:rPr>
              <w:t>）</w:t>
            </w:r>
          </w:p>
        </w:tc>
      </w:tr>
    </w:tbl>
    <w:p>
      <w:pPr>
        <w:tabs>
          <w:tab w:val="left" w:pos="5222"/>
        </w:tabs>
        <w:spacing w:before="120" w:beforeLines="50" w:after="120" w:afterLines="50"/>
        <w:jc w:val="left"/>
        <w:rPr>
          <w:rFonts w:hint="eastAsia" w:ascii="宋体" w:hAnsi="宋体" w:cs="宋体"/>
          <w:b/>
          <w:sz w:val="24"/>
          <w:szCs w:val="24"/>
          <w:lang w:bidi="ar"/>
        </w:rPr>
      </w:pPr>
    </w:p>
    <w:p>
      <w:pPr>
        <w:spacing w:before="120" w:beforeLines="50" w:after="120" w:afterLines="50"/>
        <w:jc w:val="center"/>
        <w:rPr>
          <w:rFonts w:hint="eastAsia" w:ascii="宋体" w:hAnsi="宋体" w:cs="宋体"/>
          <w:b/>
          <w:sz w:val="24"/>
          <w:szCs w:val="24"/>
          <w:lang w:bidi="ar"/>
        </w:rPr>
      </w:pPr>
      <w:r>
        <w:rPr>
          <w:rFonts w:hint="eastAsia" w:ascii="宋体" w:hAnsi="宋体" w:cs="宋体"/>
          <w:b/>
          <w:sz w:val="24"/>
          <w:szCs w:val="24"/>
          <w:lang w:bidi="ar"/>
        </w:rPr>
        <w:t>附录3 资格审查条件（信誉最低要求）</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94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b/>
                <w:sz w:val="24"/>
                <w:szCs w:val="24"/>
              </w:rPr>
            </w:pPr>
            <w:r>
              <w:rPr>
                <w:rFonts w:hint="eastAsia" w:ascii="宋体" w:hAnsi="宋体" w:cs="宋体"/>
                <w:b/>
                <w:sz w:val="24"/>
                <w:szCs w:val="24"/>
                <w:lang w:bidi="ar"/>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46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1、投标人过去1年（2021年8月1日至今）中不曾在货物采购合同中违约而被驱逐或因投标人自身的原因而使</w:t>
            </w:r>
            <w:r>
              <w:rPr>
                <w:rFonts w:hint="eastAsia" w:ascii="宋体" w:hAnsi="宋体" w:cs="宋体"/>
                <w:sz w:val="24"/>
                <w:szCs w:val="24"/>
                <w:lang w:val="en-US" w:eastAsia="zh-CN" w:bidi="ar"/>
              </w:rPr>
              <w:t>货物采购</w:t>
            </w:r>
            <w:r>
              <w:rPr>
                <w:rFonts w:hint="eastAsia" w:ascii="宋体" w:hAnsi="宋体" w:eastAsia="宋体" w:cs="宋体"/>
                <w:sz w:val="24"/>
                <w:szCs w:val="24"/>
                <w:lang w:val="en-US" w:eastAsia="zh-CN" w:bidi="ar"/>
              </w:rPr>
              <w:t>合同被解除。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rPr>
              <w:t>投标人未被列入“信用中国”失信被执行人</w:t>
            </w:r>
            <w:r>
              <w:rPr>
                <w:rFonts w:hint="eastAsia" w:ascii="宋体" w:hAnsi="宋体" w:eastAsia="宋体" w:cs="宋体"/>
                <w:sz w:val="24"/>
                <w:szCs w:val="24"/>
                <w:lang w:eastAsia="zh-CN"/>
              </w:rPr>
              <w:t>、异常经营名录、税收违法黑名单、政府采购严重违法失信行为记录名单（均不含分公司）</w:t>
            </w:r>
            <w:r>
              <w:rPr>
                <w:rFonts w:hint="eastAsia" w:ascii="宋体" w:hAnsi="宋体" w:eastAsia="宋体" w:cs="宋体"/>
                <w:sz w:val="24"/>
                <w:szCs w:val="24"/>
              </w:rPr>
              <w:t>及</w:t>
            </w:r>
            <w:r>
              <w:rPr>
                <w:rFonts w:hint="eastAsia" w:ascii="宋体" w:hAnsi="宋体" w:eastAsia="宋体" w:cs="宋体"/>
                <w:sz w:val="24"/>
                <w:szCs w:val="24"/>
                <w:lang w:eastAsia="zh-CN"/>
              </w:rPr>
              <w:t>“</w:t>
            </w:r>
            <w:r>
              <w:rPr>
                <w:rFonts w:hint="eastAsia" w:ascii="宋体" w:hAnsi="宋体" w:eastAsia="宋体" w:cs="宋体"/>
                <w:sz w:val="24"/>
                <w:szCs w:val="24"/>
              </w:rPr>
              <w:t>国家企业信用信息公示系统</w:t>
            </w:r>
            <w:r>
              <w:rPr>
                <w:rFonts w:hint="eastAsia" w:ascii="宋体" w:hAnsi="宋体" w:eastAsia="宋体" w:cs="宋体"/>
                <w:sz w:val="24"/>
                <w:szCs w:val="24"/>
                <w:lang w:eastAsia="zh-CN"/>
              </w:rPr>
              <w:t>”</w:t>
            </w:r>
            <w:r>
              <w:rPr>
                <w:rFonts w:hint="eastAsia" w:ascii="宋体" w:hAnsi="宋体" w:eastAsia="宋体" w:cs="宋体"/>
                <w:sz w:val="24"/>
                <w:szCs w:val="24"/>
              </w:rPr>
              <w:t>严重违法失信名单（不含分公司）。</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3、投标人及其法定代表人在近三年（2019年8月1日至今）内有行贿犯罪记录的，不得参加投标。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946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szCs w:val="24"/>
              </w:rPr>
            </w:pPr>
          </w:p>
        </w:tc>
      </w:tr>
    </w:tbl>
    <w:p>
      <w:pPr>
        <w:adjustRightInd w:val="0"/>
        <w:snapToGrid w:val="0"/>
        <w:spacing w:before="120" w:beforeLines="50" w:line="276" w:lineRule="auto"/>
        <w:rPr>
          <w:rFonts w:hint="default" w:ascii="宋体" w:hAnsi="宋体" w:eastAsia="宋体" w:cs="宋体"/>
          <w:b/>
          <w:sz w:val="24"/>
          <w:lang w:val="en-US" w:eastAsia="zh-CN"/>
        </w:rPr>
      </w:pPr>
      <w:r>
        <w:rPr>
          <w:rFonts w:ascii="宋体" w:hAnsi="宋体"/>
          <w:sz w:val="24"/>
          <w:szCs w:val="24"/>
          <w:lang w:bidi="ar"/>
        </w:rPr>
        <w:br w:type="page"/>
      </w:r>
      <w:r>
        <w:rPr>
          <w:rFonts w:hint="eastAsia" w:ascii="宋体" w:hAnsi="宋体" w:eastAsia="宋体" w:cs="宋体"/>
          <w:b/>
          <w:sz w:val="24"/>
        </w:rPr>
        <w:t>附件</w:t>
      </w:r>
      <w:r>
        <w:rPr>
          <w:rFonts w:hint="eastAsia" w:ascii="宋体" w:hAnsi="宋体" w:eastAsia="宋体" w:cs="宋体"/>
          <w:b/>
          <w:sz w:val="24"/>
          <w:lang w:val="en-US" w:eastAsia="zh-CN"/>
        </w:rPr>
        <w:t>2</w:t>
      </w:r>
      <w:r>
        <w:rPr>
          <w:rFonts w:hint="eastAsia" w:ascii="宋体" w:hAnsi="宋体" w:eastAsia="宋体" w:cs="宋体"/>
          <w:b/>
          <w:sz w:val="24"/>
        </w:rPr>
        <w:t>：</w:t>
      </w:r>
      <w:r>
        <w:rPr>
          <w:rFonts w:hint="eastAsia" w:ascii="宋体" w:hAnsi="宋体" w:eastAsia="宋体" w:cs="宋体"/>
          <w:b/>
          <w:sz w:val="24"/>
          <w:lang w:val="en-US" w:eastAsia="zh-CN"/>
        </w:rPr>
        <w:t>评标办法</w:t>
      </w:r>
    </w:p>
    <w:tbl>
      <w:tblPr>
        <w:tblStyle w:val="7"/>
        <w:tblW w:w="9271" w:type="dxa"/>
        <w:jc w:val="center"/>
        <w:tblLayout w:type="fixed"/>
        <w:tblCellMar>
          <w:top w:w="0" w:type="dxa"/>
          <w:left w:w="0" w:type="dxa"/>
          <w:bottom w:w="0" w:type="dxa"/>
          <w:right w:w="0" w:type="dxa"/>
        </w:tblCellMar>
      </w:tblPr>
      <w:tblGrid>
        <w:gridCol w:w="898"/>
        <w:gridCol w:w="719"/>
        <w:gridCol w:w="916"/>
        <w:gridCol w:w="1921"/>
        <w:gridCol w:w="4727"/>
        <w:gridCol w:w="90"/>
      </w:tblGrid>
      <w:tr>
        <w:tblPrEx>
          <w:tblCellMar>
            <w:top w:w="0" w:type="dxa"/>
            <w:left w:w="0" w:type="dxa"/>
            <w:bottom w:w="0" w:type="dxa"/>
            <w:right w:w="0" w:type="dxa"/>
          </w:tblCellMar>
        </w:tblPrEx>
        <w:trPr>
          <w:gridAfter w:val="1"/>
          <w:wAfter w:w="90" w:type="dxa"/>
          <w:tblHeader/>
          <w:jc w:val="center"/>
        </w:trPr>
        <w:tc>
          <w:tcPr>
            <w:tcW w:w="2533" w:type="dxa"/>
            <w:gridSpan w:val="3"/>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49"/>
              <w:jc w:val="center"/>
              <w:rPr>
                <w:rFonts w:hint="eastAsia" w:ascii="宋体" w:hAnsi="宋体" w:eastAsia="宋体" w:cs="宋体"/>
                <w:kern w:val="0"/>
                <w:sz w:val="24"/>
                <w:szCs w:val="24"/>
              </w:rPr>
            </w:pPr>
            <w:r>
              <w:rPr>
                <w:rFonts w:hint="eastAsia" w:ascii="宋体" w:hAnsi="宋体" w:eastAsia="宋体" w:cs="宋体"/>
                <w:kern w:val="0"/>
                <w:sz w:val="24"/>
                <w:szCs w:val="24"/>
              </w:rPr>
              <w:t>条款号</w:t>
            </w:r>
          </w:p>
        </w:tc>
        <w:tc>
          <w:tcPr>
            <w:tcW w:w="6648"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49"/>
              <w:jc w:val="center"/>
              <w:rPr>
                <w:rFonts w:hint="eastAsia" w:ascii="宋体" w:hAnsi="宋体" w:eastAsia="宋体" w:cs="宋体"/>
                <w:kern w:val="0"/>
                <w:sz w:val="24"/>
                <w:szCs w:val="24"/>
              </w:rPr>
            </w:pPr>
            <w:r>
              <w:rPr>
                <w:rFonts w:hint="eastAsia" w:ascii="宋体" w:hAnsi="宋体" w:eastAsia="宋体" w:cs="宋体"/>
                <w:kern w:val="0"/>
                <w:sz w:val="24"/>
                <w:szCs w:val="24"/>
              </w:rPr>
              <w:t>评审因素</w:t>
            </w:r>
            <w:r>
              <w:rPr>
                <w:rFonts w:hint="eastAsia" w:ascii="宋体" w:hAnsi="宋体" w:eastAsia="宋体" w:cs="宋体"/>
                <w:kern w:val="0"/>
                <w:sz w:val="24"/>
                <w:szCs w:val="24"/>
                <w:lang w:val="en-US" w:eastAsia="zh-CN"/>
              </w:rPr>
              <w:t>与</w:t>
            </w:r>
            <w:r>
              <w:rPr>
                <w:rFonts w:hint="eastAsia" w:ascii="宋体" w:hAnsi="宋体" w:eastAsia="宋体" w:cs="宋体"/>
                <w:kern w:val="0"/>
                <w:sz w:val="24"/>
                <w:szCs w:val="24"/>
              </w:rPr>
              <w:t>标准</w:t>
            </w:r>
          </w:p>
        </w:tc>
      </w:tr>
      <w:tr>
        <w:tblPrEx>
          <w:tblCellMar>
            <w:top w:w="0" w:type="dxa"/>
            <w:left w:w="0" w:type="dxa"/>
            <w:bottom w:w="0" w:type="dxa"/>
            <w:right w:w="0" w:type="dxa"/>
          </w:tblCellMar>
        </w:tblPrEx>
        <w:trPr>
          <w:gridAfter w:val="1"/>
          <w:wAfter w:w="90" w:type="dxa"/>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val="0"/>
              <w:autoSpaceDN w:val="0"/>
              <w:bidi w:val="0"/>
              <w:adjustRightInd w:val="0"/>
              <w:snapToGrid/>
              <w:spacing w:before="82"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评标</w:t>
            </w:r>
            <w:r>
              <w:rPr>
                <w:rFonts w:hint="eastAsia" w:ascii="宋体" w:hAnsi="宋体" w:eastAsia="宋体" w:cs="宋体"/>
                <w:spacing w:val="-2"/>
                <w:kern w:val="0"/>
                <w:sz w:val="24"/>
                <w:szCs w:val="24"/>
              </w:rPr>
              <w:t>方</w:t>
            </w:r>
            <w:r>
              <w:rPr>
                <w:rFonts w:hint="eastAsia" w:ascii="宋体" w:hAnsi="宋体" w:eastAsia="宋体" w:cs="宋体"/>
                <w:kern w:val="0"/>
                <w:sz w:val="24"/>
                <w:szCs w:val="24"/>
              </w:rPr>
              <w:t>法</w:t>
            </w:r>
          </w:p>
        </w:tc>
        <w:tc>
          <w:tcPr>
            <w:tcW w:w="6648"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本条细化为：</w:t>
            </w:r>
          </w:p>
          <w:p>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本次招标采用资格后审方式，双信封形式，评标办法采用综合评</w:t>
            </w:r>
            <w:r>
              <w:rPr>
                <w:rFonts w:hint="eastAsia" w:ascii="宋体" w:hAnsi="宋体" w:eastAsia="宋体" w:cs="宋体"/>
                <w:sz w:val="24"/>
                <w:szCs w:val="24"/>
                <w:lang w:val="en-US" w:eastAsia="zh-CN"/>
              </w:rPr>
              <w:t>分</w:t>
            </w:r>
            <w:r>
              <w:rPr>
                <w:rFonts w:hint="eastAsia" w:ascii="宋体" w:hAnsi="宋体" w:eastAsia="宋体" w:cs="宋体"/>
                <w:sz w:val="24"/>
                <w:szCs w:val="24"/>
              </w:rPr>
              <w:t>法。评标委员会对满足招标文件实质性要求的投标文件，按照本章第 2.2 款规定的评分标准进行打分，并按综合得分由高到低顺序推荐前三名为中选候选人，但投标报价低于其成本的除外。综合评分相等时，以投标报价低的优先；投标报价也相等的，评标委员会将对投标人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智能酒店管理系统</w:t>
            </w:r>
            <w:r>
              <w:rPr>
                <w:rFonts w:hint="eastAsia" w:ascii="宋体" w:hAnsi="宋体" w:eastAsia="宋体" w:cs="宋体"/>
                <w:sz w:val="24"/>
                <w:szCs w:val="24"/>
                <w:highlight w:val="none"/>
                <w:lang w:val="en-US" w:eastAsia="zh-CN"/>
              </w:rPr>
              <w:t>综合评价</w:t>
            </w:r>
            <w:r>
              <w:rPr>
                <w:rFonts w:hint="eastAsia" w:ascii="宋体" w:hAnsi="宋体" w:eastAsia="宋体" w:cs="宋体"/>
                <w:sz w:val="24"/>
                <w:szCs w:val="24"/>
                <w:highlight w:val="none"/>
                <w:lang w:eastAsia="zh-CN"/>
              </w:rPr>
              <w:t>”</w:t>
            </w:r>
            <w:r>
              <w:rPr>
                <w:rFonts w:hint="eastAsia" w:ascii="宋体" w:hAnsi="宋体" w:eastAsia="宋体" w:cs="宋体"/>
                <w:sz w:val="24"/>
                <w:szCs w:val="24"/>
              </w:rPr>
              <w:t>的评分进行排序，投标人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智能酒店管理系统</w:t>
            </w:r>
            <w:r>
              <w:rPr>
                <w:rFonts w:hint="eastAsia" w:ascii="宋体" w:hAnsi="宋体" w:eastAsia="宋体" w:cs="宋体"/>
                <w:sz w:val="24"/>
                <w:szCs w:val="24"/>
                <w:highlight w:val="none"/>
                <w:lang w:val="en-US" w:eastAsia="zh-CN"/>
              </w:rPr>
              <w:t>综合评价</w:t>
            </w:r>
            <w:r>
              <w:rPr>
                <w:rFonts w:hint="eastAsia" w:ascii="宋体" w:hAnsi="宋体" w:eastAsia="宋体" w:cs="宋体"/>
                <w:sz w:val="24"/>
                <w:szCs w:val="24"/>
                <w:highlight w:val="none"/>
                <w:lang w:eastAsia="zh-CN"/>
              </w:rPr>
              <w:t>”</w:t>
            </w:r>
            <w:r>
              <w:rPr>
                <w:rFonts w:hint="eastAsia" w:ascii="宋体" w:hAnsi="宋体" w:eastAsia="宋体" w:cs="宋体"/>
                <w:sz w:val="24"/>
                <w:szCs w:val="24"/>
              </w:rPr>
              <w:t>得分高的优先的原则确定中选候选人。</w:t>
            </w:r>
          </w:p>
          <w:p>
            <w:pPr>
              <w:pStyle w:val="2"/>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电子评标原则：本项目采用电子评标，评标委员会以电子投标文件评审为准。如因投标人原因造成的其电子投标文件不能评审，则不能通过初步评审。</w:t>
            </w:r>
          </w:p>
        </w:tc>
      </w:tr>
      <w:tr>
        <w:tblPrEx>
          <w:tblCellMar>
            <w:top w:w="0" w:type="dxa"/>
            <w:left w:w="0" w:type="dxa"/>
            <w:bottom w:w="0" w:type="dxa"/>
            <w:right w:w="0" w:type="dxa"/>
          </w:tblCellMar>
        </w:tblPrEx>
        <w:trPr>
          <w:gridAfter w:val="1"/>
          <w:wAfter w:w="90" w:type="dxa"/>
          <w:trHeight w:val="2016"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2.1.1</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lang w:bidi="ar"/>
              </w:rPr>
              <w:t>形式评审与响应性评审标准</w:t>
            </w:r>
          </w:p>
        </w:tc>
        <w:tc>
          <w:tcPr>
            <w:tcW w:w="6648"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widowControl w:val="0"/>
              <w:kinsoku/>
              <w:wordWrap/>
              <w:overflowPunct/>
              <w:topLinePunct w:val="0"/>
              <w:bidi w:val="0"/>
              <w:snapToGrid/>
              <w:spacing w:line="360" w:lineRule="auto"/>
              <w:ind w:firstLine="443" w:firstLineChars="184"/>
              <w:jc w:val="left"/>
              <w:textAlignment w:val="auto"/>
              <w:rPr>
                <w:rFonts w:hint="eastAsia" w:ascii="宋体" w:hAnsi="宋体" w:eastAsia="宋体" w:cs="宋体"/>
                <w:b/>
                <w:bCs/>
                <w:sz w:val="24"/>
                <w:szCs w:val="24"/>
                <w:lang w:bidi="ar"/>
              </w:rPr>
            </w:pPr>
            <w:r>
              <w:rPr>
                <w:rFonts w:hint="eastAsia" w:ascii="宋体" w:hAnsi="宋体" w:eastAsia="宋体" w:cs="宋体"/>
                <w:b/>
                <w:bCs/>
                <w:sz w:val="24"/>
                <w:szCs w:val="24"/>
                <w:lang w:bidi="ar"/>
              </w:rPr>
              <w:t>第一个信封(商务及技术文件)评审标准：</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（1）投标文件按照招标文件规定的格式、内容填写，字迹清晰可辨：</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a.投标函按招标文件规定填报了项目名称、补遗书编号（如有）、</w:t>
            </w:r>
            <w:r>
              <w:rPr>
                <w:rFonts w:hint="eastAsia" w:ascii="宋体" w:hAnsi="宋体" w:eastAsia="宋体" w:cs="宋体"/>
                <w:sz w:val="24"/>
                <w:szCs w:val="24"/>
                <w:lang w:val="en-US" w:eastAsia="zh-CN" w:bidi="ar"/>
              </w:rPr>
              <w:t>供货安装期</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质量标准</w:t>
            </w:r>
            <w:r>
              <w:rPr>
                <w:rFonts w:hint="eastAsia" w:ascii="宋体" w:hAnsi="宋体" w:eastAsia="宋体" w:cs="宋体"/>
                <w:sz w:val="24"/>
                <w:szCs w:val="24"/>
                <w:lang w:bidi="ar"/>
              </w:rPr>
              <w:t>；</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b.投标函附录的所有数据均符合招标文件规定；</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c.投标文件组成齐全完整，内容均按规定填写。</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（2）投标文件上法定代表人或其授权代理人的签字、投标人的单位章盖章齐全，符合招标文件规定。</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（3）投标人按照招标文件规定的金额、形式、时效和内容提供了投标保证金：</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a．投标保证金金额符合招标文件规定的金额，且投标保证金有效期不少于投标有效期；</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b.若投标保证金采用现金或支票形式提交，投标人应在递交投标文件截止时间之前，将投标保证金由投标人的基本账户转入招标人指定账户；</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c.若投标保证金采用银行保函形式提交，银行保函的格式、开具保函的银行均满足招标文件要求，且在递交投标文件截止时间之前向招标人提交了银行保函原件。</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（4）投标人法定代表人授权委托代理人签署投标文件的，提供了授权委托书，符合招标文件规定。</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（5）投标人法定代表人若亲自签署投标文件的，提供了法定代表人身份证明，符合招标文件规定。</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（6）投标人未以联合体形式投标。</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（7）投标人未对本项目提出分包计划。</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（8）同一投标人未提交两个以上不同的投标文件。</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（9）投标文件中未出现有关投标报价的内容。</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（10）投标文件载明的招标项目完成期限未超过招标文件规定的时限。</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（11）投标文件对招标文件的实质性要求和条件作出响应。</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（12）权利义务符合招标文件规定：</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a.投标人应接受招标文件规定的风险划分原则，未提出新的风险划分办法；</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b.投标人未增加发包人的责任范围，或减少投标人义务；</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c.投标人未提出不同的工程验收、计量、支付办法；</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d.投标人对合同纠纷、事故处理办法未提出异议；</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e.投标人在投标活动中无欺诈行为；</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f.投标人未对合同条款有重要保留。</w:t>
            </w:r>
          </w:p>
          <w:p>
            <w:pPr>
              <w:pageBreakBefore w:val="0"/>
              <w:widowControl w:val="0"/>
              <w:kinsoku/>
              <w:wordWrap/>
              <w:overflowPunct/>
              <w:topLinePunct w:val="0"/>
              <w:bidi w:val="0"/>
              <w:snapToGrid/>
              <w:spacing w:line="360" w:lineRule="auto"/>
              <w:ind w:firstLine="443" w:firstLineChars="184"/>
              <w:jc w:val="left"/>
              <w:textAlignment w:val="auto"/>
              <w:rPr>
                <w:rFonts w:hint="eastAsia" w:ascii="宋体" w:hAnsi="宋体" w:eastAsia="宋体" w:cs="宋体"/>
                <w:b/>
                <w:bCs/>
                <w:sz w:val="24"/>
                <w:szCs w:val="24"/>
                <w:lang w:bidi="ar"/>
              </w:rPr>
            </w:pPr>
            <w:r>
              <w:rPr>
                <w:rFonts w:hint="eastAsia" w:ascii="宋体" w:hAnsi="宋体" w:eastAsia="宋体" w:cs="宋体"/>
                <w:b/>
                <w:bCs/>
                <w:sz w:val="24"/>
                <w:szCs w:val="24"/>
                <w:lang w:bidi="ar"/>
              </w:rPr>
              <w:t>第二个信封(投标报价)评审标准：</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（1）投标文件按照招标文件规定的格式、内容填写，字迹清晰可辨：</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a.投标函按招标文件规定填报了项目名称、补遗书编号（如有）、投标价（包括大写金额和小写金额）；</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b.投标文件组成齐全完整，内容均按规定填写。</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（2）投标文件上法定代表人或其委托代理人的签字、投标人的单位章盖章齐全，符合招标文件规定。</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（3）投标报价未超过招标文件设定的最高投标限价。</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（4）投标报价中的大写金额能够确定具体数值。</w:t>
            </w:r>
          </w:p>
          <w:p>
            <w:pPr>
              <w:pageBreakBefore w:val="0"/>
              <w:widowControl w:val="0"/>
              <w:kinsoku/>
              <w:wordWrap/>
              <w:overflowPunct/>
              <w:topLinePunct w:val="0"/>
              <w:bidi w:val="0"/>
              <w:snapToGrid/>
              <w:spacing w:line="360" w:lineRule="auto"/>
              <w:ind w:firstLine="441" w:firstLineChars="184"/>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（5）同一投标人未提交两个以上不同的投标报价。</w:t>
            </w:r>
          </w:p>
          <w:p>
            <w:pPr>
              <w:pageBreakBefore w:val="0"/>
              <w:widowControl w:val="0"/>
              <w:kinsoku/>
              <w:wordWrap/>
              <w:overflowPunct/>
              <w:topLinePunct w:val="0"/>
              <w:autoSpaceDE w:val="0"/>
              <w:autoSpaceDN w:val="0"/>
              <w:bidi w:val="0"/>
              <w:adjustRightInd w:val="0"/>
              <w:snapToGrid/>
              <w:spacing w:before="2"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bidi="ar"/>
              </w:rPr>
              <w:t>（6）投标人未提交调价函。</w:t>
            </w:r>
          </w:p>
        </w:tc>
      </w:tr>
      <w:tr>
        <w:tblPrEx>
          <w:tblCellMar>
            <w:top w:w="0" w:type="dxa"/>
            <w:left w:w="0" w:type="dxa"/>
            <w:bottom w:w="0" w:type="dxa"/>
            <w:right w:w="0" w:type="dxa"/>
          </w:tblCellMar>
        </w:tblPrEx>
        <w:trPr>
          <w:gridAfter w:val="1"/>
          <w:wAfter w:w="90" w:type="dxa"/>
          <w:trHeight w:val="1590"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2.1.2</w:t>
            </w:r>
          </w:p>
        </w:tc>
        <w:tc>
          <w:tcPr>
            <w:tcW w:w="1635" w:type="dxa"/>
            <w:gridSpan w:val="2"/>
            <w:tcBorders>
              <w:top w:val="single" w:color="000000" w:sz="4" w:space="0"/>
              <w:left w:val="single" w:color="000000" w:sz="4" w:space="0"/>
              <w:right w:val="single" w:color="000000" w:sz="4" w:space="0"/>
            </w:tcBorders>
            <w:noWrap w:val="0"/>
            <w:vAlign w:val="center"/>
          </w:tcPr>
          <w:p>
            <w:pPr>
              <w:pageBreakBefore w:val="0"/>
              <w:widowControl w:val="0"/>
              <w:kinsoku/>
              <w:wordWrap/>
              <w:overflowPunct/>
              <w:topLinePunct w:val="0"/>
              <w:autoSpaceDE w:val="0"/>
              <w:autoSpaceDN w:val="0"/>
              <w:bidi w:val="0"/>
              <w:adjustRightInd w:val="0"/>
              <w:snapToGrid/>
              <w:spacing w:line="360" w:lineRule="auto"/>
              <w:ind w:right="-20" w:rightChars="0"/>
              <w:jc w:val="center"/>
              <w:textAlignment w:val="auto"/>
              <w:rPr>
                <w:rFonts w:hint="eastAsia" w:ascii="宋体" w:hAnsi="宋体" w:eastAsia="宋体" w:cs="宋体"/>
                <w:kern w:val="0"/>
                <w:sz w:val="24"/>
                <w:szCs w:val="24"/>
              </w:rPr>
            </w:pPr>
            <w:r>
              <w:rPr>
                <w:rFonts w:hint="eastAsia" w:ascii="宋体" w:hAnsi="宋体" w:eastAsia="宋体" w:cs="宋体"/>
                <w:sz w:val="24"/>
                <w:szCs w:val="24"/>
              </w:rPr>
              <w:t>资格评审标准</w:t>
            </w:r>
          </w:p>
        </w:tc>
        <w:tc>
          <w:tcPr>
            <w:tcW w:w="6648"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投标人具备有效的营业执照</w:t>
            </w:r>
            <w:r>
              <w:rPr>
                <w:rFonts w:hint="eastAsia" w:ascii="宋体" w:hAnsi="宋体" w:eastAsia="宋体" w:cs="宋体"/>
                <w:sz w:val="24"/>
                <w:szCs w:val="24"/>
                <w:lang w:eastAsia="zh-CN"/>
              </w:rPr>
              <w:t>、</w:t>
            </w:r>
            <w:r>
              <w:rPr>
                <w:rFonts w:hint="eastAsia" w:ascii="宋体" w:hAnsi="宋体" w:eastAsia="宋体" w:cs="宋体"/>
                <w:sz w:val="24"/>
                <w:szCs w:val="24"/>
              </w:rPr>
              <w:t>基本账户开户许可证（或基本存款账户信息）；</w:t>
            </w:r>
          </w:p>
          <w:p>
            <w:pPr>
              <w:pStyle w:val="5"/>
              <w:numPr>
                <w:ilvl w:val="0"/>
                <w:numId w:val="0"/>
              </w:numPr>
              <w:ind w:right="118" w:rightChars="56"/>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kern w:val="2"/>
                <w:sz w:val="24"/>
                <w:szCs w:val="24"/>
                <w:lang w:val="en-US" w:eastAsia="zh-CN" w:bidi="ar-SA"/>
              </w:rPr>
              <w:t>资质要求：符合第二章“投标人须知”第 1.4.1 项规定；</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kern w:val="2"/>
                <w:sz w:val="24"/>
                <w:szCs w:val="24"/>
                <w:lang w:val="en-US" w:eastAsia="zh-CN" w:bidi="ar-SA"/>
              </w:rPr>
              <w:t>业绩要求：符合第二章“投标人须知”第 1.4.1 项规定；</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信誉要求</w:t>
            </w:r>
            <w:r>
              <w:rPr>
                <w:rFonts w:hint="eastAsia" w:ascii="宋体" w:hAnsi="宋体" w:eastAsia="宋体" w:cs="宋体"/>
                <w:sz w:val="24"/>
                <w:szCs w:val="24"/>
                <w:lang w:eastAsia="zh-CN"/>
              </w:rPr>
              <w:t>：</w:t>
            </w:r>
            <w:r>
              <w:rPr>
                <w:rFonts w:hint="eastAsia" w:ascii="宋体" w:hAnsi="宋体" w:eastAsia="宋体" w:cs="宋体"/>
                <w:kern w:val="2"/>
                <w:sz w:val="24"/>
                <w:szCs w:val="24"/>
                <w:lang w:val="en-US" w:eastAsia="zh-CN" w:bidi="ar-SA"/>
              </w:rPr>
              <w:t>符合第二章“投标人须知”第 1.4.1 项规定；</w:t>
            </w:r>
          </w:p>
          <w:p>
            <w:pPr>
              <w:pStyle w:val="5"/>
              <w:ind w:left="0" w:leftChars="0" w:right="118" w:rightChars="56" w:firstLine="0" w:firstLineChars="0"/>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不存在禁止投标的情形：</w:t>
            </w:r>
            <w:r>
              <w:rPr>
                <w:rFonts w:hint="eastAsia" w:ascii="宋体" w:hAnsi="宋体" w:eastAsia="宋体" w:cs="宋体"/>
                <w:kern w:val="2"/>
                <w:sz w:val="24"/>
                <w:szCs w:val="24"/>
                <w:lang w:val="en-US" w:eastAsia="zh-CN" w:bidi="ar-SA"/>
              </w:rPr>
              <w:t>不存在第二章“投标人须知”第 1.4.3 项规定的任何一种情形。</w:t>
            </w:r>
          </w:p>
        </w:tc>
      </w:tr>
      <w:tr>
        <w:tblPrEx>
          <w:tblCellMar>
            <w:top w:w="0" w:type="dxa"/>
            <w:left w:w="0" w:type="dxa"/>
            <w:bottom w:w="0" w:type="dxa"/>
            <w:right w:w="0" w:type="dxa"/>
          </w:tblCellMar>
        </w:tblPrEx>
        <w:trPr>
          <w:gridAfter w:val="1"/>
          <w:wAfter w:w="90" w:type="dxa"/>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2.2.1</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分值构成</w:t>
            </w:r>
          </w:p>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总分（100分）</w:t>
            </w:r>
          </w:p>
        </w:tc>
        <w:tc>
          <w:tcPr>
            <w:tcW w:w="6648"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widowControl w:val="0"/>
              <w:kinsoku/>
              <w:wordWrap/>
              <w:overflowPunct/>
              <w:topLinePunct w:val="0"/>
              <w:bidi w:val="0"/>
              <w:snapToGrid/>
              <w:spacing w:before="17" w:line="360" w:lineRule="auto"/>
              <w:ind w:left="102"/>
              <w:textAlignment w:val="auto"/>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u w:val="single"/>
              </w:rPr>
              <w:t xml:space="preserve">      30      </w:t>
            </w:r>
            <w:r>
              <w:rPr>
                <w:rFonts w:hint="eastAsia" w:ascii="宋体" w:hAnsi="宋体" w:eastAsia="宋体" w:cs="宋体"/>
                <w:sz w:val="24"/>
                <w:szCs w:val="24"/>
              </w:rPr>
              <w:t>分</w:t>
            </w:r>
          </w:p>
          <w:p>
            <w:pPr>
              <w:pageBreakBefore w:val="0"/>
              <w:widowControl w:val="0"/>
              <w:kinsoku/>
              <w:wordWrap/>
              <w:overflowPunct/>
              <w:topLinePunct w:val="0"/>
              <w:bidi w:val="0"/>
              <w:snapToGrid/>
              <w:spacing w:before="17" w:line="360" w:lineRule="auto"/>
              <w:ind w:left="102"/>
              <w:textAlignment w:val="auto"/>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eastAsia="宋体" w:cs="宋体"/>
                <w:sz w:val="24"/>
                <w:szCs w:val="24"/>
                <w:u w:val="single"/>
              </w:rPr>
              <w:t xml:space="preserve">      40      </w:t>
            </w:r>
            <w:r>
              <w:rPr>
                <w:rFonts w:hint="eastAsia" w:ascii="宋体" w:hAnsi="宋体" w:eastAsia="宋体" w:cs="宋体"/>
                <w:sz w:val="24"/>
                <w:szCs w:val="24"/>
              </w:rPr>
              <w:t>分</w:t>
            </w:r>
          </w:p>
          <w:p>
            <w:pPr>
              <w:pageBreakBefore w:val="0"/>
              <w:widowControl w:val="0"/>
              <w:kinsoku/>
              <w:wordWrap/>
              <w:overflowPunct/>
              <w:topLinePunct w:val="0"/>
              <w:bidi w:val="0"/>
              <w:snapToGrid/>
              <w:spacing w:before="17" w:line="360" w:lineRule="auto"/>
              <w:ind w:left="102"/>
              <w:textAlignment w:val="auto"/>
              <w:rPr>
                <w:rFonts w:hint="eastAsia" w:ascii="宋体" w:hAnsi="宋体" w:eastAsia="宋体" w:cs="宋体"/>
                <w:sz w:val="24"/>
                <w:szCs w:val="24"/>
              </w:rPr>
            </w:pPr>
            <w:r>
              <w:rPr>
                <w:rFonts w:hint="eastAsia" w:ascii="宋体" w:hAnsi="宋体" w:eastAsia="宋体" w:cs="宋体"/>
                <w:sz w:val="24"/>
                <w:szCs w:val="24"/>
              </w:rPr>
              <w:t>投标报价：</w:t>
            </w:r>
            <w:r>
              <w:rPr>
                <w:rFonts w:hint="eastAsia" w:ascii="宋体" w:hAnsi="宋体" w:eastAsia="宋体" w:cs="宋体"/>
                <w:sz w:val="24"/>
                <w:szCs w:val="24"/>
                <w:u w:val="single"/>
              </w:rPr>
              <w:t xml:space="preserve">      30      </w:t>
            </w:r>
            <w:r>
              <w:rPr>
                <w:rFonts w:hint="eastAsia" w:ascii="宋体" w:hAnsi="宋体" w:eastAsia="宋体" w:cs="宋体"/>
                <w:sz w:val="24"/>
                <w:szCs w:val="24"/>
              </w:rPr>
              <w:t>分</w:t>
            </w:r>
          </w:p>
          <w:p>
            <w:pPr>
              <w:pageBreakBefore w:val="0"/>
              <w:widowControl w:val="0"/>
              <w:kinsoku/>
              <w:wordWrap/>
              <w:overflowPunct/>
              <w:topLinePunct w:val="0"/>
              <w:bidi w:val="0"/>
              <w:snapToGrid/>
              <w:spacing w:before="17" w:line="360" w:lineRule="auto"/>
              <w:ind w:left="102"/>
              <w:textAlignment w:val="auto"/>
              <w:rPr>
                <w:rFonts w:hint="eastAsia" w:ascii="宋体" w:hAnsi="宋体" w:eastAsia="宋体" w:cs="宋体"/>
                <w:sz w:val="24"/>
                <w:szCs w:val="24"/>
              </w:rPr>
            </w:pPr>
            <w:r>
              <w:rPr>
                <w:rFonts w:hint="eastAsia" w:ascii="宋体" w:hAnsi="宋体" w:eastAsia="宋体" w:cs="宋体"/>
                <w:sz w:val="24"/>
                <w:szCs w:val="24"/>
              </w:rPr>
              <w:t>其他评分因素：</w:t>
            </w:r>
            <w:r>
              <w:rPr>
                <w:rFonts w:hint="eastAsia" w:ascii="宋体" w:hAnsi="宋体" w:eastAsia="宋体" w:cs="宋体"/>
                <w:sz w:val="24"/>
                <w:szCs w:val="24"/>
                <w:u w:val="single"/>
              </w:rPr>
              <w:t xml:space="preserve">     0     </w:t>
            </w:r>
            <w:r>
              <w:rPr>
                <w:rFonts w:hint="eastAsia" w:ascii="宋体" w:hAnsi="宋体" w:eastAsia="宋体" w:cs="宋体"/>
                <w:sz w:val="24"/>
                <w:szCs w:val="24"/>
              </w:rPr>
              <w:t>分</w:t>
            </w:r>
          </w:p>
        </w:tc>
      </w:tr>
      <w:tr>
        <w:tblPrEx>
          <w:tblCellMar>
            <w:top w:w="0" w:type="dxa"/>
            <w:left w:w="0" w:type="dxa"/>
            <w:bottom w:w="0" w:type="dxa"/>
            <w:right w:w="0" w:type="dxa"/>
          </w:tblCellMar>
        </w:tblPrEx>
        <w:trPr>
          <w:gridAfter w:val="1"/>
          <w:wAfter w:w="90" w:type="dxa"/>
          <w:trHeight w:val="428"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left="34" w:leftChars="16" w:right="288"/>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2.2.2</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right="-20"/>
              <w:jc w:val="center"/>
              <w:textAlignment w:val="auto"/>
              <w:rPr>
                <w:rFonts w:hint="eastAsia" w:ascii="宋体" w:hAnsi="宋体" w:eastAsia="宋体" w:cs="宋体"/>
                <w:sz w:val="24"/>
                <w:szCs w:val="24"/>
              </w:rPr>
            </w:pPr>
            <w:r>
              <w:rPr>
                <w:rFonts w:hint="eastAsia" w:ascii="宋体" w:hAnsi="宋体" w:eastAsia="宋体" w:cs="宋体"/>
                <w:sz w:val="24"/>
                <w:szCs w:val="24"/>
              </w:rPr>
              <w:t>评标基准价计算方法</w:t>
            </w:r>
          </w:p>
        </w:tc>
        <w:tc>
          <w:tcPr>
            <w:tcW w:w="6648"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 xml:space="preserve">评标基准价的计算： </w:t>
            </w:r>
          </w:p>
          <w:p>
            <w:pPr>
              <w:pageBreakBefore w:val="0"/>
              <w:widowControl w:val="0"/>
              <w:kinsoku/>
              <w:wordWrap/>
              <w:overflowPunct/>
              <w:topLinePunct w:val="0"/>
              <w:bidi w:val="0"/>
              <w:snapToGrid/>
              <w:spacing w:line="360" w:lineRule="auto"/>
              <w:ind w:left="113" w:right="11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所有通过第一个信封评审的投标文件，由评标委员会开启第二个信封，并当场计算并宣布评标基准价。 </w:t>
            </w:r>
          </w:p>
          <w:p>
            <w:pPr>
              <w:pageBreakBefore w:val="0"/>
              <w:widowControl w:val="0"/>
              <w:numPr>
                <w:ilvl w:val="0"/>
                <w:numId w:val="1"/>
              </w:numPr>
              <w:kinsoku/>
              <w:wordWrap/>
              <w:overflowPunct/>
              <w:topLinePunct w:val="0"/>
              <w:bidi w:val="0"/>
              <w:snapToGrid/>
              <w:spacing w:line="360" w:lineRule="auto"/>
              <w:ind w:left="210" w:leftChars="0" w:right="113"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评标价的确定： </w:t>
            </w:r>
          </w:p>
          <w:p>
            <w:pPr>
              <w:pageBreakBefore w:val="0"/>
              <w:widowControl w:val="0"/>
              <w:numPr>
                <w:ilvl w:val="0"/>
                <w:numId w:val="0"/>
              </w:numPr>
              <w:kinsoku/>
              <w:wordWrap/>
              <w:overflowPunct/>
              <w:topLinePunct w:val="0"/>
              <w:bidi w:val="0"/>
              <w:snapToGrid/>
              <w:spacing w:line="360" w:lineRule="auto"/>
              <w:ind w:right="113"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评标价=投标函文字报价 </w:t>
            </w:r>
          </w:p>
          <w:p>
            <w:pPr>
              <w:pageBreakBefore w:val="0"/>
              <w:widowControl w:val="0"/>
              <w:numPr>
                <w:ilvl w:val="0"/>
                <w:numId w:val="1"/>
              </w:numPr>
              <w:kinsoku/>
              <w:wordWrap/>
              <w:overflowPunct/>
              <w:topLinePunct w:val="0"/>
              <w:bidi w:val="0"/>
              <w:snapToGrid/>
              <w:spacing w:line="360" w:lineRule="auto"/>
              <w:ind w:left="210" w:leftChars="0" w:right="113"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评标价平均值的计算： </w:t>
            </w:r>
          </w:p>
          <w:p>
            <w:pPr>
              <w:pageBreakBefore w:val="0"/>
              <w:widowControl w:val="0"/>
              <w:numPr>
                <w:ilvl w:val="0"/>
                <w:numId w:val="0"/>
              </w:numPr>
              <w:kinsoku/>
              <w:wordWrap/>
              <w:overflowPunct/>
              <w:topLinePunct w:val="0"/>
              <w:bidi w:val="0"/>
              <w:snapToGrid/>
              <w:spacing w:line="360" w:lineRule="auto"/>
              <w:ind w:leftChars="0" w:right="113" w:rightChars="0"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除按第二章“投标人须知”第5.</w:t>
            </w:r>
            <w:r>
              <w:rPr>
                <w:rFonts w:hint="eastAsia" w:ascii="宋体" w:hAnsi="宋体" w:eastAsia="宋体" w:cs="宋体"/>
                <w:sz w:val="24"/>
                <w:szCs w:val="24"/>
                <w:lang w:val="en-US" w:eastAsia="zh-CN"/>
              </w:rPr>
              <w:t>5</w:t>
            </w:r>
            <w:r>
              <w:rPr>
                <w:rFonts w:hint="eastAsia" w:ascii="宋体" w:hAnsi="宋体" w:eastAsia="宋体" w:cs="宋体"/>
                <w:sz w:val="24"/>
                <w:szCs w:val="24"/>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pageBreakBefore w:val="0"/>
              <w:widowControl w:val="0"/>
              <w:numPr>
                <w:ilvl w:val="0"/>
                <w:numId w:val="0"/>
              </w:numPr>
              <w:kinsoku/>
              <w:wordWrap/>
              <w:overflowPunct/>
              <w:topLinePunct w:val="0"/>
              <w:bidi w:val="0"/>
              <w:snapToGrid/>
              <w:spacing w:line="360" w:lineRule="auto"/>
              <w:ind w:leftChars="0" w:right="113"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（3）评标基准价的确定： </w:t>
            </w:r>
          </w:p>
          <w:p>
            <w:pPr>
              <w:pageBreakBefore w:val="0"/>
              <w:widowControl w:val="0"/>
              <w:numPr>
                <w:ilvl w:val="0"/>
                <w:numId w:val="0"/>
              </w:numPr>
              <w:kinsoku/>
              <w:wordWrap/>
              <w:overflowPunct/>
              <w:topLinePunct w:val="0"/>
              <w:bidi w:val="0"/>
              <w:snapToGrid/>
              <w:spacing w:line="360" w:lineRule="auto"/>
              <w:ind w:leftChars="0" w:right="113"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将评标价平均值直接作为评标基准价（评标基准价保留两位小数，小数点后第三位四舍五入）。 </w:t>
            </w:r>
          </w:p>
          <w:p>
            <w:pPr>
              <w:pageBreakBefore w:val="0"/>
              <w:widowControl w:val="0"/>
              <w:numPr>
                <w:ilvl w:val="0"/>
                <w:numId w:val="0"/>
              </w:numPr>
              <w:kinsoku/>
              <w:wordWrap/>
              <w:overflowPunct/>
              <w:topLinePunct w:val="0"/>
              <w:bidi w:val="0"/>
              <w:snapToGrid/>
              <w:spacing w:line="360" w:lineRule="auto"/>
              <w:ind w:leftChars="0" w:right="113"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在评标过程中，评标委员会应对招标人计算的评标基准价进行复核，存在计算错误的应予以修正并在评标报告中作出说明。除此之外，评标基准价在整个评标期间保持不变，不随任何因素发生变化。 </w:t>
            </w:r>
          </w:p>
          <w:p>
            <w:pPr>
              <w:pageBreakBefore w:val="0"/>
              <w:widowControl w:val="0"/>
              <w:numPr>
                <w:ilvl w:val="0"/>
                <w:numId w:val="0"/>
              </w:numPr>
              <w:kinsoku/>
              <w:wordWrap/>
              <w:overflowPunct/>
              <w:topLinePunct w:val="0"/>
              <w:bidi w:val="0"/>
              <w:snapToGrid/>
              <w:spacing w:line="360" w:lineRule="auto"/>
              <w:ind w:leftChars="0" w:right="113"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当所有投标价都高于招标人投标控制价上限时，招标人将重新招标。</w:t>
            </w:r>
          </w:p>
        </w:tc>
      </w:tr>
      <w:tr>
        <w:tblPrEx>
          <w:tblCellMar>
            <w:top w:w="0" w:type="dxa"/>
            <w:left w:w="0" w:type="dxa"/>
            <w:bottom w:w="0" w:type="dxa"/>
            <w:right w:w="0" w:type="dxa"/>
          </w:tblCellMar>
        </w:tblPrEx>
        <w:trPr>
          <w:gridAfter w:val="1"/>
          <w:wAfter w:w="90" w:type="dxa"/>
          <w:trHeight w:val="88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2.2.3</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right="-20"/>
              <w:jc w:val="center"/>
              <w:textAlignment w:val="auto"/>
              <w:rPr>
                <w:rFonts w:hint="eastAsia" w:ascii="宋体" w:hAnsi="宋体" w:eastAsia="宋体" w:cs="宋体"/>
                <w:sz w:val="24"/>
                <w:szCs w:val="24"/>
              </w:rPr>
            </w:pPr>
            <w:r>
              <w:rPr>
                <w:rFonts w:hint="eastAsia" w:ascii="宋体" w:hAnsi="宋体" w:eastAsia="宋体" w:cs="宋体"/>
                <w:sz w:val="24"/>
                <w:szCs w:val="24"/>
              </w:rPr>
              <w:t>投标报价的偏差率计算公式</w:t>
            </w:r>
          </w:p>
        </w:tc>
        <w:tc>
          <w:tcPr>
            <w:tcW w:w="6648"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偏差率=100%×（投标人评标价-评标基准价）/评标基准价</w:t>
            </w:r>
          </w:p>
        </w:tc>
      </w:tr>
      <w:tr>
        <w:tblPrEx>
          <w:tblCellMar>
            <w:top w:w="0" w:type="dxa"/>
            <w:left w:w="0" w:type="dxa"/>
            <w:bottom w:w="0" w:type="dxa"/>
            <w:right w:w="0" w:type="dxa"/>
          </w:tblCellMar>
        </w:tblPrEx>
        <w:trPr>
          <w:gridAfter w:val="1"/>
          <w:wAfter w:w="90" w:type="dxa"/>
          <w:trHeight w:val="772"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类别</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right="-20"/>
              <w:jc w:val="center"/>
              <w:textAlignment w:val="auto"/>
              <w:rPr>
                <w:rFonts w:hint="eastAsia" w:ascii="宋体" w:hAnsi="宋体" w:eastAsia="宋体" w:cs="宋体"/>
                <w:sz w:val="24"/>
                <w:szCs w:val="24"/>
              </w:rPr>
            </w:pPr>
            <w:r>
              <w:rPr>
                <w:rFonts w:hint="eastAsia" w:ascii="宋体" w:hAnsi="宋体" w:eastAsia="宋体" w:cs="宋体"/>
                <w:sz w:val="24"/>
                <w:szCs w:val="24"/>
              </w:rPr>
              <w:t>评审项目</w:t>
            </w:r>
          </w:p>
        </w:tc>
        <w:tc>
          <w:tcPr>
            <w:tcW w:w="1921" w:type="dxa"/>
            <w:tcBorders>
              <w:top w:val="single" w:color="000000" w:sz="4" w:space="0"/>
              <w:left w:val="single" w:color="000000" w:sz="4" w:space="0"/>
              <w:bottom w:val="single" w:color="000000" w:sz="4" w:space="0"/>
              <w:right w:val="single" w:color="auto" w:sz="4" w:space="0"/>
            </w:tcBorders>
            <w:noWrap w:val="0"/>
            <w:vAlign w:val="center"/>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标准分</w:t>
            </w:r>
          </w:p>
        </w:tc>
        <w:tc>
          <w:tcPr>
            <w:tcW w:w="4727" w:type="dxa"/>
            <w:tcBorders>
              <w:top w:val="single" w:color="000000" w:sz="4" w:space="0"/>
              <w:left w:val="single" w:color="auto"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评分标准</w:t>
            </w:r>
          </w:p>
        </w:tc>
      </w:tr>
      <w:tr>
        <w:tblPrEx>
          <w:tblCellMar>
            <w:top w:w="0" w:type="dxa"/>
            <w:left w:w="0" w:type="dxa"/>
            <w:bottom w:w="0" w:type="dxa"/>
            <w:right w:w="0" w:type="dxa"/>
          </w:tblCellMar>
        </w:tblPrEx>
        <w:trPr>
          <w:trHeight w:val="5191"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2.2.4</w:t>
            </w:r>
          </w:p>
          <w:p>
            <w:pPr>
              <w:pageBreakBefore w:val="0"/>
              <w:widowControl w:val="0"/>
              <w:kinsoku/>
              <w:wordWrap/>
              <w:overflowPunct/>
              <w:topLinePunct w:val="0"/>
              <w:bidi w:val="0"/>
              <w:snapToGrid/>
              <w:spacing w:before="9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商务评分 标准</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right="-20"/>
              <w:jc w:val="center"/>
              <w:textAlignment w:val="auto"/>
              <w:rPr>
                <w:rFonts w:hint="eastAsia" w:ascii="宋体" w:hAnsi="宋体" w:eastAsia="宋体" w:cs="宋体"/>
                <w:sz w:val="24"/>
                <w:szCs w:val="24"/>
              </w:rPr>
            </w:pPr>
            <w:r>
              <w:rPr>
                <w:rFonts w:hint="eastAsia" w:ascii="宋体" w:hAnsi="宋体" w:eastAsia="宋体" w:cs="宋体"/>
                <w:sz w:val="24"/>
                <w:szCs w:val="24"/>
              </w:rPr>
              <w:t>售后服务及体系</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481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根据供应商的售后服务、技术支持能力与承诺优劣进行综合比较评价：</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第一档，售后服务保障体系及措施完善， 技术支持能力强，服务响应快，响应程度高或优于采购需求的，得 8.5-14分；</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第二档，售后服务保障体系及多措施较好，技术支持能力较强，服务响应较快，满足采购需求，得 4.5-8.5分；</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第三档，售后服务保障体系及措施基本符合采购要求，但技术支持能力和服务响应速度</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较差或一般，得 0-4.5分。</w:t>
            </w:r>
          </w:p>
        </w:tc>
      </w:tr>
      <w:tr>
        <w:tblPrEx>
          <w:tblCellMar>
            <w:top w:w="0" w:type="dxa"/>
            <w:left w:w="0" w:type="dxa"/>
            <w:bottom w:w="0" w:type="dxa"/>
            <w:right w:w="0" w:type="dxa"/>
          </w:tblCellMar>
        </w:tblPrEx>
        <w:trPr>
          <w:trHeight w:val="890"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right="-20" w:righ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保修期外维修</w:t>
            </w:r>
            <w:r>
              <w:rPr>
                <w:rFonts w:hint="eastAsia" w:ascii="宋体" w:hAnsi="宋体" w:eastAsia="宋体" w:cs="宋体"/>
                <w:sz w:val="24"/>
                <w:szCs w:val="24"/>
                <w:highlight w:val="none"/>
                <w:lang w:val="en-US" w:eastAsia="zh-CN"/>
              </w:rPr>
              <w:t>服务</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81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left="113" w:leftChars="0" w:right="113" w:rightChars="0"/>
              <w:textAlignment w:val="auto"/>
              <w:rPr>
                <w:rFonts w:hint="eastAsia" w:ascii="宋体" w:hAnsi="宋体" w:eastAsia="宋体" w:cs="宋体"/>
                <w:sz w:val="24"/>
                <w:szCs w:val="24"/>
              </w:rPr>
            </w:pPr>
            <w:r>
              <w:rPr>
                <w:rFonts w:hint="eastAsia" w:ascii="宋体" w:hAnsi="宋体" w:eastAsia="宋体" w:cs="宋体"/>
                <w:sz w:val="24"/>
                <w:szCs w:val="24"/>
              </w:rPr>
              <w:t>根据供应商免费质保期外售后维护</w:t>
            </w:r>
            <w:r>
              <w:rPr>
                <w:rFonts w:hint="eastAsia" w:ascii="宋体" w:hAnsi="宋体" w:eastAsia="宋体" w:cs="宋体"/>
                <w:sz w:val="24"/>
                <w:szCs w:val="24"/>
                <w:lang w:val="en-US" w:eastAsia="zh-CN"/>
              </w:rPr>
              <w:t>措施</w:t>
            </w:r>
            <w:r>
              <w:rPr>
                <w:rFonts w:hint="eastAsia" w:ascii="宋体" w:hAnsi="宋体" w:eastAsia="宋体" w:cs="宋体"/>
                <w:sz w:val="24"/>
                <w:szCs w:val="24"/>
              </w:rPr>
              <w:t>、维修承诺</w:t>
            </w:r>
            <w:r>
              <w:rPr>
                <w:rFonts w:hint="eastAsia" w:ascii="宋体" w:hAnsi="宋体" w:eastAsia="宋体" w:cs="宋体"/>
                <w:sz w:val="24"/>
                <w:szCs w:val="24"/>
                <w:lang w:val="en-US" w:eastAsia="zh-CN"/>
              </w:rPr>
              <w:t>完善程度</w:t>
            </w:r>
            <w:r>
              <w:rPr>
                <w:rFonts w:hint="eastAsia" w:ascii="宋体" w:hAnsi="宋体" w:eastAsia="宋体" w:cs="宋体"/>
                <w:sz w:val="24"/>
                <w:szCs w:val="24"/>
              </w:rPr>
              <w:t>及收费标准</w:t>
            </w:r>
            <w:r>
              <w:rPr>
                <w:rFonts w:hint="eastAsia" w:ascii="宋体" w:hAnsi="宋体" w:eastAsia="宋体" w:cs="宋体"/>
                <w:sz w:val="24"/>
                <w:szCs w:val="24"/>
                <w:lang w:val="en-US" w:eastAsia="zh-CN"/>
              </w:rPr>
              <w:t>高低程度</w:t>
            </w:r>
            <w:r>
              <w:rPr>
                <w:rFonts w:hint="eastAsia" w:ascii="宋体" w:hAnsi="宋体" w:eastAsia="宋体" w:cs="宋体"/>
                <w:sz w:val="24"/>
                <w:szCs w:val="24"/>
              </w:rPr>
              <w:t>打分：</w:t>
            </w:r>
            <w:r>
              <w:rPr>
                <w:rFonts w:hint="eastAsia" w:ascii="宋体" w:hAnsi="宋体" w:eastAsia="宋体" w:cs="宋体"/>
                <w:sz w:val="24"/>
                <w:szCs w:val="24"/>
                <w:lang w:val="en-US" w:eastAsia="zh-CN"/>
              </w:rPr>
              <w:t>较好得3分</w:t>
            </w:r>
            <w:r>
              <w:rPr>
                <w:rFonts w:hint="eastAsia" w:ascii="宋体" w:hAnsi="宋体" w:eastAsia="宋体" w:cs="宋体"/>
                <w:sz w:val="24"/>
                <w:szCs w:val="24"/>
              </w:rPr>
              <w:t>；</w:t>
            </w:r>
            <w:r>
              <w:rPr>
                <w:rFonts w:hint="eastAsia" w:ascii="宋体" w:hAnsi="宋体" w:eastAsia="宋体" w:cs="宋体"/>
                <w:sz w:val="24"/>
                <w:szCs w:val="24"/>
                <w:lang w:val="en-US" w:eastAsia="zh-CN"/>
              </w:rPr>
              <w:t>正常得2分；一般得1分。</w:t>
            </w:r>
          </w:p>
        </w:tc>
      </w:tr>
      <w:tr>
        <w:tblPrEx>
          <w:tblCellMar>
            <w:top w:w="0" w:type="dxa"/>
            <w:left w:w="0" w:type="dxa"/>
            <w:bottom w:w="0" w:type="dxa"/>
            <w:right w:w="0" w:type="dxa"/>
          </w:tblCellMar>
        </w:tblPrEx>
        <w:trPr>
          <w:trHeight w:val="545"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培训</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817"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按照项目培训安排的优劣进行比较评价：</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第一档，培训计划及培训内容方面安排合理可行，满足用户要求，得</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第二档，培训计划及培训内容方面安排合理可行，满足用户要求，但有不足之处，得</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第三档，无培训计划或培训内容方面安排有缺陷，得0-</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r>
      <w:tr>
        <w:tblPrEx>
          <w:tblCellMar>
            <w:top w:w="0" w:type="dxa"/>
            <w:left w:w="0" w:type="dxa"/>
            <w:bottom w:w="0" w:type="dxa"/>
            <w:right w:w="0" w:type="dxa"/>
          </w:tblCellMar>
        </w:tblPrEx>
        <w:trPr>
          <w:trHeight w:val="545"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业绩</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5</w:t>
            </w:r>
          </w:p>
        </w:tc>
        <w:tc>
          <w:tcPr>
            <w:tcW w:w="4817"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满足资格审查条件中业绩最低要求，得3分，每多增加一项类似业绩得1分，最多加2分。</w:t>
            </w:r>
          </w:p>
        </w:tc>
      </w:tr>
      <w:tr>
        <w:tblPrEx>
          <w:tblCellMar>
            <w:top w:w="0" w:type="dxa"/>
            <w:left w:w="0" w:type="dxa"/>
            <w:bottom w:w="0" w:type="dxa"/>
            <w:right w:w="0" w:type="dxa"/>
          </w:tblCellMar>
        </w:tblPrEx>
        <w:trPr>
          <w:trHeight w:val="3489"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right="-20"/>
              <w:jc w:val="center"/>
              <w:textAlignment w:val="auto"/>
              <w:rPr>
                <w:rFonts w:hint="eastAsia" w:ascii="宋体" w:hAnsi="宋体" w:eastAsia="宋体" w:cs="宋体"/>
                <w:sz w:val="24"/>
                <w:szCs w:val="24"/>
              </w:rPr>
            </w:pPr>
            <w:r>
              <w:rPr>
                <w:rFonts w:hint="eastAsia" w:ascii="宋体" w:hAnsi="宋体" w:eastAsia="宋体" w:cs="宋体"/>
                <w:sz w:val="24"/>
                <w:szCs w:val="24"/>
              </w:rPr>
              <w:t>商务响应情况</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481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不能实质性满足采购文件重要商务条款要求的为无效响应。在满足采购文件重要商务条款的基础上，对供应商商务条款响应程度进行综合比较评价：</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第一档，响应全面，描述完备、细致，完全满足且部分优于采购需求，得 3.5-5分；</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第二档，响应较全面、细致，满足采购需求，得 1.5-3</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第三档，基本响应采购需求，但有缺陷或部分一般指标不满足需求，得 0.5-1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tblPrEx>
          <w:tblCellMar>
            <w:top w:w="0" w:type="dxa"/>
            <w:left w:w="0" w:type="dxa"/>
            <w:bottom w:w="0" w:type="dxa"/>
            <w:right w:w="0" w:type="dxa"/>
          </w:tblCellMar>
        </w:tblPrEx>
        <w:trPr>
          <w:trHeight w:val="955"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2.2.4</w:t>
            </w:r>
          </w:p>
          <w:p>
            <w:pPr>
              <w:pageBreakBefore w:val="0"/>
              <w:widowControl w:val="0"/>
              <w:kinsoku/>
              <w:wordWrap/>
              <w:overflowPunct/>
              <w:topLinePunct w:val="0"/>
              <w:bidi w:val="0"/>
              <w:snapToGrid/>
              <w:spacing w:before="92"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技术评分 标准</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right="-20"/>
              <w:jc w:val="center"/>
              <w:textAlignment w:val="auto"/>
              <w:rPr>
                <w:rFonts w:hint="eastAsia" w:ascii="宋体" w:hAnsi="宋体" w:eastAsia="宋体" w:cs="宋体"/>
                <w:sz w:val="24"/>
                <w:szCs w:val="24"/>
              </w:rPr>
            </w:pPr>
            <w:r>
              <w:rPr>
                <w:rFonts w:hint="eastAsia" w:ascii="宋体" w:hAnsi="宋体" w:eastAsia="宋体" w:cs="宋体"/>
                <w:sz w:val="24"/>
                <w:szCs w:val="24"/>
              </w:rPr>
              <w:t>技术响应情况</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481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 xml:space="preserve">不能实质性满足采购文件重要技术指标、参数要求的为无效响应。满足采购文件重要技术指标、参数要求的得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tblPrEx>
          <w:tblCellMar>
            <w:top w:w="0" w:type="dxa"/>
            <w:left w:w="0" w:type="dxa"/>
            <w:bottom w:w="0" w:type="dxa"/>
            <w:right w:w="0" w:type="dxa"/>
          </w:tblCellMar>
        </w:tblPrEx>
        <w:trPr>
          <w:trHeight w:val="1765"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before="92" w:line="360" w:lineRule="auto"/>
              <w:jc w:val="center"/>
              <w:textAlignment w:val="auto"/>
              <w:rPr>
                <w:rFonts w:hint="eastAsia" w:ascii="宋体" w:hAnsi="宋体" w:eastAsia="宋体" w:cs="宋体"/>
                <w:sz w:val="24"/>
                <w:szCs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right="-2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智能酒店管理系统</w:t>
            </w:r>
            <w:r>
              <w:rPr>
                <w:rFonts w:hint="eastAsia" w:ascii="宋体" w:hAnsi="宋体" w:eastAsia="宋体" w:cs="宋体"/>
                <w:sz w:val="24"/>
                <w:szCs w:val="24"/>
                <w:lang w:val="en-US" w:eastAsia="zh-CN"/>
              </w:rPr>
              <w:t>综合评价</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481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产品选型先进，系统配置完善，技术参数满足程度高得10-15分；</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产品选型合理，系统配置较好，技术参数满足供货要求，得5-10分；</w:t>
            </w:r>
          </w:p>
          <w:p>
            <w:pPr>
              <w:pStyle w:val="2"/>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产品选型一般，系统配置一般，技术参数满足供货要求，得0-5分</w:t>
            </w:r>
          </w:p>
        </w:tc>
      </w:tr>
      <w:tr>
        <w:tblPrEx>
          <w:tblCellMar>
            <w:top w:w="0" w:type="dxa"/>
            <w:left w:w="0" w:type="dxa"/>
            <w:bottom w:w="0" w:type="dxa"/>
            <w:right w:w="0" w:type="dxa"/>
          </w:tblCellMar>
        </w:tblPrEx>
        <w:trPr>
          <w:trHeight w:val="1895"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before="92" w:line="360" w:lineRule="auto"/>
              <w:jc w:val="center"/>
              <w:textAlignment w:val="auto"/>
              <w:rPr>
                <w:rFonts w:hint="eastAsia" w:ascii="宋体" w:hAnsi="宋体" w:eastAsia="宋体" w:cs="宋体"/>
                <w:sz w:val="24"/>
                <w:szCs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right="-2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智能电子门锁综合评价</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481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产品材质、质量好，供货安装计划完善，参数规格优于招标文件要求，得5-7分；</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产品材质、质量较好，供货安装计划较完善，参数规格满足招标文件要求得3-5分；</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产品材质、质量一般，供货安装计划一般，规格型号满足招标文件要求得0-3分；</w:t>
            </w:r>
          </w:p>
        </w:tc>
      </w:tr>
      <w:tr>
        <w:tblPrEx>
          <w:tblCellMar>
            <w:top w:w="0" w:type="dxa"/>
            <w:left w:w="0" w:type="dxa"/>
            <w:bottom w:w="0" w:type="dxa"/>
            <w:right w:w="0" w:type="dxa"/>
          </w:tblCellMar>
        </w:tblPrEx>
        <w:trPr>
          <w:trHeight w:val="935"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before="92" w:line="360" w:lineRule="auto"/>
              <w:jc w:val="center"/>
              <w:textAlignment w:val="auto"/>
              <w:rPr>
                <w:rFonts w:hint="eastAsia" w:ascii="宋体" w:hAnsi="宋体" w:eastAsia="宋体" w:cs="宋体"/>
                <w:sz w:val="24"/>
                <w:szCs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right="-2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硬件设备</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481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widowControl w:val="0"/>
              <w:kinsoku/>
              <w:wordWrap/>
              <w:overflowPunct/>
              <w:topLinePunct w:val="0"/>
              <w:bidi w:val="0"/>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设备性能先进、节能环保水平优秀，参数规格优于招标文件要求，得5-7分；</w:t>
            </w:r>
          </w:p>
          <w:p>
            <w:pPr>
              <w:pStyle w:val="2"/>
              <w:pageBreakBefore w:val="0"/>
              <w:widowControl w:val="0"/>
              <w:kinsoku/>
              <w:wordWrap/>
              <w:overflowPunct/>
              <w:topLinePunct w:val="0"/>
              <w:bidi w:val="0"/>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设备性能较先进、节能环保水平较好，参数规格满足招标文件要求，得5-7分；</w:t>
            </w:r>
          </w:p>
          <w:p>
            <w:pPr>
              <w:pStyle w:val="2"/>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设备性能一般、节能环保水平一般，参数规格满足招标文件要求，得0-3分；</w:t>
            </w:r>
          </w:p>
        </w:tc>
      </w:tr>
      <w:tr>
        <w:tblPrEx>
          <w:tblCellMar>
            <w:top w:w="0" w:type="dxa"/>
            <w:left w:w="0" w:type="dxa"/>
            <w:bottom w:w="0" w:type="dxa"/>
            <w:right w:w="0" w:type="dxa"/>
          </w:tblCellMar>
        </w:tblPrEx>
        <w:trPr>
          <w:trHeight w:val="839" w:hRule="atLeast"/>
          <w:jc w:val="center"/>
        </w:trPr>
        <w:tc>
          <w:tcPr>
            <w:tcW w:w="898" w:type="dxa"/>
            <w:vMerge w:val="continue"/>
            <w:tcBorders>
              <w:top w:val="single" w:color="000000" w:sz="4" w:space="0"/>
              <w:left w:val="single" w:color="000000" w:sz="4" w:space="0"/>
              <w:right w:val="single" w:color="000000" w:sz="4" w:space="0"/>
            </w:tcBorders>
            <w:noWrap w:val="0"/>
            <w:vAlign w:val="center"/>
          </w:tcPr>
          <w:p>
            <w:pPr>
              <w:pageBreakBefore w:val="0"/>
              <w:widowControl w:val="0"/>
              <w:kinsoku/>
              <w:wordWrap/>
              <w:overflowPunct/>
              <w:topLinePunct w:val="0"/>
              <w:bidi w:val="0"/>
              <w:snapToGrid/>
              <w:spacing w:before="92" w:line="360" w:lineRule="auto"/>
              <w:jc w:val="center"/>
              <w:textAlignment w:val="auto"/>
              <w:rPr>
                <w:rFonts w:hint="eastAsia" w:ascii="宋体" w:hAnsi="宋体" w:eastAsia="宋体" w:cs="宋体"/>
                <w:sz w:val="24"/>
                <w:szCs w:val="24"/>
              </w:rPr>
            </w:pPr>
          </w:p>
        </w:tc>
        <w:tc>
          <w:tcPr>
            <w:tcW w:w="719" w:type="dxa"/>
            <w:vMerge w:val="continue"/>
            <w:tcBorders>
              <w:top w:val="single" w:color="000000" w:sz="4" w:space="0"/>
              <w:left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916" w:type="dxa"/>
            <w:tcBorders>
              <w:top w:val="single" w:color="000000" w:sz="4" w:space="0"/>
              <w:left w:val="single" w:color="000000" w:sz="4" w:space="0"/>
              <w:right w:val="single" w:color="auto" w:sz="4" w:space="0"/>
            </w:tcBorders>
            <w:noWrap w:val="0"/>
            <w:vAlign w:val="center"/>
          </w:tcPr>
          <w:p>
            <w:pPr>
              <w:pageBreakBefore w:val="0"/>
              <w:widowControl w:val="0"/>
              <w:kinsoku/>
              <w:wordWrap/>
              <w:overflowPunct/>
              <w:topLinePunct w:val="0"/>
              <w:bidi w:val="0"/>
              <w:snapToGrid/>
              <w:spacing w:line="360" w:lineRule="auto"/>
              <w:ind w:right="-2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质量保证措施</w:t>
            </w:r>
          </w:p>
        </w:tc>
        <w:tc>
          <w:tcPr>
            <w:tcW w:w="1921" w:type="dxa"/>
            <w:tcBorders>
              <w:top w:val="single" w:color="000000" w:sz="4" w:space="0"/>
              <w:left w:val="single" w:color="auto" w:sz="4" w:space="0"/>
              <w:right w:val="single" w:color="auto"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817" w:type="dxa"/>
            <w:gridSpan w:val="2"/>
            <w:tcBorders>
              <w:top w:val="single" w:color="000000" w:sz="4" w:space="0"/>
              <w:left w:val="single" w:color="auto" w:sz="4" w:space="0"/>
              <w:right w:val="single" w:color="000000" w:sz="4" w:space="0"/>
            </w:tcBorders>
            <w:noWrap w:val="0"/>
            <w:vAlign w:val="center"/>
          </w:tcPr>
          <w:p>
            <w:pPr>
              <w:pStyle w:val="2"/>
              <w:pageBreakBefore w:val="0"/>
              <w:widowControl w:val="0"/>
              <w:kinsoku/>
              <w:wordWrap/>
              <w:overflowPunct/>
              <w:topLinePunct w:val="0"/>
              <w:bidi w:val="0"/>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保证措施完善，科学合理，得4-6分；</w:t>
            </w:r>
          </w:p>
          <w:p>
            <w:pPr>
              <w:pStyle w:val="2"/>
              <w:pageBreakBefore w:val="0"/>
              <w:widowControl w:val="0"/>
              <w:kinsoku/>
              <w:wordWrap/>
              <w:overflowPunct/>
              <w:topLinePunct w:val="0"/>
              <w:bidi w:val="0"/>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保证措施相对完善，科学较合理，得2-4分；</w:t>
            </w:r>
          </w:p>
          <w:p>
            <w:pPr>
              <w:pStyle w:val="2"/>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保证措施一般，得0-2分；</w:t>
            </w:r>
          </w:p>
        </w:tc>
      </w:tr>
      <w:tr>
        <w:tblPrEx>
          <w:tblCellMar>
            <w:top w:w="0" w:type="dxa"/>
            <w:left w:w="0" w:type="dxa"/>
            <w:bottom w:w="0" w:type="dxa"/>
            <w:right w:w="0"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2.2.4（3）</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投标报价评分标准</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评标价</w:t>
            </w:r>
          </w:p>
        </w:tc>
        <w:tc>
          <w:tcPr>
            <w:tcW w:w="6738"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30分，评标价得分计算公式示例：</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（1）如果投标人的评标价＞评标基准价，则评标价得分=30-偏差率×100×E1；</w:t>
            </w:r>
          </w:p>
          <w:p>
            <w:pPr>
              <w:pageBreakBefore w:val="0"/>
              <w:widowControl w:val="0"/>
              <w:kinsoku/>
              <w:wordWrap/>
              <w:overflowPunct/>
              <w:topLinePunct w:val="0"/>
              <w:bidi w:val="0"/>
              <w:snapToGrid/>
              <w:spacing w:line="360" w:lineRule="auto"/>
              <w:ind w:left="113" w:right="113"/>
              <w:textAlignment w:val="auto"/>
              <w:rPr>
                <w:rFonts w:hint="eastAsia" w:ascii="宋体" w:hAnsi="宋体" w:eastAsia="宋体" w:cs="宋体"/>
                <w:sz w:val="24"/>
                <w:szCs w:val="24"/>
              </w:rPr>
            </w:pPr>
            <w:r>
              <w:rPr>
                <w:rFonts w:hint="eastAsia" w:ascii="宋体" w:hAnsi="宋体" w:eastAsia="宋体" w:cs="宋体"/>
                <w:sz w:val="24"/>
                <w:szCs w:val="24"/>
              </w:rPr>
              <w:t>（2）如果投标人的评标价≤评标基准价，则评标价得分=30+偏差率×100×E2；</w:t>
            </w:r>
          </w:p>
          <w:p>
            <w:pPr>
              <w:pageBreakBefore w:val="0"/>
              <w:widowControl w:val="0"/>
              <w:kinsoku/>
              <w:wordWrap/>
              <w:overflowPunct/>
              <w:topLinePunct w:val="0"/>
              <w:bidi w:val="0"/>
              <w:snapToGrid/>
              <w:spacing w:before="48"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其中：E1是评标价每高于评标基准价一个百分点的扣分值；E2是评标价每低于评标基准价一个百分点的扣分值。E1=0.</w:t>
            </w:r>
            <w:r>
              <w:rPr>
                <w:rFonts w:hint="eastAsia" w:ascii="宋体" w:hAnsi="宋体" w:eastAsia="宋体" w:cs="宋体"/>
                <w:sz w:val="24"/>
                <w:szCs w:val="24"/>
                <w:lang w:val="en-US" w:eastAsia="zh-CN"/>
              </w:rPr>
              <w:t>2</w:t>
            </w:r>
            <w:r>
              <w:rPr>
                <w:rFonts w:hint="eastAsia" w:ascii="宋体" w:hAnsi="宋体" w:eastAsia="宋体" w:cs="宋体"/>
                <w:sz w:val="24"/>
                <w:szCs w:val="24"/>
              </w:rPr>
              <w:t>，E2=0.</w:t>
            </w:r>
            <w:r>
              <w:rPr>
                <w:rFonts w:hint="eastAsia" w:ascii="宋体" w:hAnsi="宋体" w:eastAsia="宋体" w:cs="宋体"/>
                <w:sz w:val="24"/>
                <w:szCs w:val="24"/>
                <w:lang w:val="en-US" w:eastAsia="zh-CN"/>
              </w:rPr>
              <w:t>1</w:t>
            </w:r>
            <w:r>
              <w:rPr>
                <w:rFonts w:hint="eastAsia" w:ascii="宋体" w:hAnsi="宋体" w:eastAsia="宋体" w:cs="宋体"/>
                <w:sz w:val="24"/>
                <w:szCs w:val="24"/>
              </w:rPr>
              <w:t>。（最终得分为负数的按0分计算）</w:t>
            </w:r>
          </w:p>
        </w:tc>
      </w:tr>
      <w:tr>
        <w:tblPrEx>
          <w:tblCellMar>
            <w:top w:w="0" w:type="dxa"/>
            <w:left w:w="0" w:type="dxa"/>
            <w:bottom w:w="0" w:type="dxa"/>
            <w:right w:w="0"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noWrap w:val="0"/>
            <w:vAlign w:val="top"/>
          </w:tcPr>
          <w:p>
            <w:pPr>
              <w:pageBreakBefore w:val="0"/>
              <w:widowControl w:val="0"/>
              <w:kinsoku/>
              <w:wordWrap/>
              <w:overflowPunct/>
              <w:topLinePunct w:val="0"/>
              <w:bidi w:val="0"/>
              <w:snapToGrid/>
              <w:spacing w:line="360" w:lineRule="auto"/>
              <w:ind w:left="234" w:right="-20"/>
              <w:textAlignment w:val="auto"/>
              <w:rPr>
                <w:rFonts w:hint="eastAsia" w:ascii="宋体" w:hAnsi="宋体" w:eastAsia="宋体" w:cs="宋体"/>
                <w:sz w:val="24"/>
                <w:szCs w:val="24"/>
              </w:rPr>
            </w:pPr>
            <w:r>
              <w:rPr>
                <w:rFonts w:hint="eastAsia" w:ascii="宋体" w:hAnsi="宋体" w:eastAsia="宋体" w:cs="宋体"/>
                <w:sz w:val="24"/>
                <w:szCs w:val="24"/>
              </w:rPr>
              <w:t>2.2.4</w:t>
            </w:r>
          </w:p>
          <w:p>
            <w:pPr>
              <w:pageBreakBefore w:val="0"/>
              <w:widowControl w:val="0"/>
              <w:kinsoku/>
              <w:wordWrap/>
              <w:overflowPunct/>
              <w:topLinePunct w:val="0"/>
              <w:bidi w:val="0"/>
              <w:snapToGrid/>
              <w:spacing w:line="360" w:lineRule="auto"/>
              <w:ind w:left="181" w:right="-20"/>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其他因素</w:t>
            </w:r>
          </w:p>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评分标准</w:t>
            </w:r>
          </w:p>
        </w:tc>
        <w:tc>
          <w:tcPr>
            <w:tcW w:w="7654"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bidi w:val="0"/>
              <w:snapToGrid/>
              <w:spacing w:line="360" w:lineRule="auto"/>
              <w:ind w:right="2067" w:firstLine="3600" w:firstLineChars="1500"/>
              <w:jc w:val="both"/>
              <w:textAlignment w:val="auto"/>
              <w:rPr>
                <w:rFonts w:hint="eastAsia" w:ascii="宋体" w:hAnsi="宋体" w:eastAsia="宋体" w:cs="宋体"/>
                <w:sz w:val="24"/>
                <w:szCs w:val="24"/>
              </w:rPr>
            </w:pPr>
            <w:r>
              <w:rPr>
                <w:rFonts w:hint="eastAsia" w:ascii="宋体" w:hAnsi="宋体" w:eastAsia="宋体" w:cs="宋体"/>
                <w:sz w:val="24"/>
                <w:szCs w:val="24"/>
              </w:rPr>
              <w:t>0分</w:t>
            </w:r>
          </w:p>
        </w:tc>
      </w:tr>
    </w:tbl>
    <w:p>
      <w:pPr>
        <w:pStyle w:val="6"/>
        <w:ind w:firstLine="240" w:firstLineChars="100"/>
        <w:rPr>
          <w:rFonts w:hAnsi="宋体"/>
          <w:sz w:val="24"/>
          <w:szCs w:val="24"/>
        </w:rPr>
      </w:pPr>
      <w:r>
        <w:rPr>
          <w:rFonts w:hint="eastAsia" w:hAnsi="宋体"/>
          <w:sz w:val="24"/>
          <w:szCs w:val="24"/>
        </w:rPr>
        <w:t>注：1、</w:t>
      </w:r>
      <w:r>
        <w:rPr>
          <w:rFonts w:hAnsi="宋体"/>
          <w:sz w:val="24"/>
          <w:szCs w:val="24"/>
        </w:rPr>
        <w:t>各评分因素得分应以评标委员会各成员的打分平均值确定</w:t>
      </w:r>
      <w:r>
        <w:rPr>
          <w:rFonts w:hint="eastAsia" w:hAnsi="宋体"/>
          <w:sz w:val="24"/>
          <w:szCs w:val="24"/>
        </w:rPr>
        <w:t>。</w:t>
      </w:r>
    </w:p>
    <w:p>
      <w:pPr>
        <w:pStyle w:val="6"/>
        <w:ind w:firstLine="727" w:firstLineChars="303"/>
      </w:pPr>
      <w:r>
        <w:rPr>
          <w:rFonts w:hint="eastAsia" w:hAnsi="宋体"/>
          <w:sz w:val="24"/>
          <w:szCs w:val="24"/>
        </w:rPr>
        <w:t>2、缺项则该项得0分。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8174C"/>
    <w:multiLevelType w:val="singleLevel"/>
    <w:tmpl w:val="9118174C"/>
    <w:lvl w:ilvl="0" w:tentative="0">
      <w:start w:val="1"/>
      <w:numFmt w:val="decimal"/>
      <w:suff w:val="nothing"/>
      <w:lvlText w:val="（%1）"/>
      <w:lvlJc w:val="left"/>
      <w:pPr>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7C147A4"/>
    <w:rsid w:val="1BB30ABB"/>
    <w:rsid w:val="21CA3160"/>
    <w:rsid w:val="26FA0946"/>
    <w:rsid w:val="62171D38"/>
    <w:rsid w:val="7985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9"/>
    <w:pPr>
      <w:keepNext/>
      <w:keepLines/>
      <w:spacing w:before="50" w:beforeLines="50" w:line="415"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spacing w:beforeLines="0" w:afterLines="0"/>
    </w:pPr>
    <w:rPr>
      <w:rFonts w:hint="eastAsia" w:ascii="黑体" w:eastAsia="黑体"/>
      <w:sz w:val="21"/>
    </w:rPr>
  </w:style>
  <w:style w:type="paragraph" w:styleId="3">
    <w:name w:val="Body Text 2"/>
    <w:basedOn w:val="1"/>
    <w:next w:val="1"/>
    <w:unhideWhenUsed/>
    <w:qFormat/>
    <w:uiPriority w:val="99"/>
    <w:pPr>
      <w:spacing w:after="120" w:line="480" w:lineRule="auto"/>
    </w:pPr>
  </w:style>
  <w:style w:type="paragraph" w:styleId="5">
    <w:name w:val="Block Text"/>
    <w:basedOn w:val="1"/>
    <w:unhideWhenUsed/>
    <w:qFormat/>
    <w:uiPriority w:val="99"/>
    <w:pPr>
      <w:spacing w:after="120"/>
      <w:ind w:left="1440" w:leftChars="700" w:right="1440" w:rightChars="700"/>
    </w:pPr>
  </w:style>
  <w:style w:type="paragraph" w:styleId="6">
    <w:name w:val="Plain Text"/>
    <w:basedOn w:val="1"/>
    <w:next w:val="1"/>
    <w:qFormat/>
    <w:uiPriority w:val="99"/>
    <w:rPr>
      <w:rFonts w:ascii="宋体"/>
      <w:szCs w:val="21"/>
    </w:rPr>
  </w:style>
  <w:style w:type="paragraph" w:customStyle="1" w:styleId="9">
    <w:name w:val="目录3"/>
    <w:basedOn w:val="1"/>
    <w:qFormat/>
    <w:uiPriority w:val="0"/>
    <w:pPr>
      <w:spacing w:before="156" w:beforeLines="50" w:after="156" w:afterLines="50" w:line="400" w:lineRule="exact"/>
    </w:pPr>
    <w:rPr>
      <w:rFonts w:ascii="黑体" w:eastAsia="黑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5586</Words>
  <Characters>6062</Characters>
  <Lines>0</Lines>
  <Paragraphs>0</Paragraphs>
  <TotalTime>0</TotalTime>
  <ScaleCrop>false</ScaleCrop>
  <LinksUpToDate>false</LinksUpToDate>
  <CharactersWithSpaces>6249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2022-08-26T07:02:00Z</dcterms:created>
  <dc:creator>田儿</dc:creator>
  <cp:lastModifiedBy>招标管理办公室</cp:lastModifiedBy>
  <dcterms:modified xsi:type="dcterms:W3CDTF">2022-08-27T02:40:35Z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8CDB308DC5FC47A6BEA5BB49BD90314E</vt:lpwstr>
  </property>
</Properties>
</file>