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sz w:val="24"/>
          <w:szCs w:val="24"/>
          <w:highlight w:val="none"/>
        </w:rPr>
      </w:pPr>
      <w:bookmarkStart w:id="0" w:name="_Toc321927034"/>
      <w:bookmarkStart w:id="1" w:name="_Toc356504158"/>
      <w:bookmarkStart w:id="2" w:name="_Toc321926668"/>
      <w:bookmarkStart w:id="3" w:name="_Toc470776148"/>
      <w:bookmarkStart w:id="4" w:name="_Toc536788770"/>
      <w:bookmarkStart w:id="5" w:name="OLE_LINK2"/>
      <w:bookmarkStart w:id="14" w:name="_GoBack"/>
      <w:bookmarkEnd w:id="14"/>
      <w:r>
        <w:rPr>
          <w:rFonts w:hint="eastAsia" w:ascii="宋体"/>
          <w:sz w:val="24"/>
          <w:szCs w:val="24"/>
          <w:highlight w:val="none"/>
        </w:rPr>
        <w:t>附件</w:t>
      </w:r>
      <w:r>
        <w:rPr>
          <w:rFonts w:hint="eastAsia" w:ascii="宋体"/>
          <w:sz w:val="24"/>
          <w:szCs w:val="24"/>
          <w:highlight w:val="none"/>
          <w:lang w:val="en-US" w:eastAsia="zh-CN"/>
        </w:rPr>
        <w:t>1</w:t>
      </w:r>
      <w:r>
        <w:rPr>
          <w:rFonts w:hint="eastAsia" w:ascii="宋体"/>
          <w:sz w:val="24"/>
          <w:szCs w:val="24"/>
          <w:highlight w:val="none"/>
        </w:rPr>
        <w:t>：</w:t>
      </w:r>
      <w:bookmarkEnd w:id="0"/>
      <w:bookmarkEnd w:id="1"/>
      <w:bookmarkEnd w:id="2"/>
      <w:bookmarkStart w:id="6" w:name="_Toc356504159"/>
      <w:r>
        <w:rPr>
          <w:rFonts w:hint="eastAsia" w:ascii="宋体"/>
          <w:sz w:val="24"/>
          <w:szCs w:val="24"/>
          <w:highlight w:val="none"/>
        </w:rPr>
        <w:t>资格审查要求</w:t>
      </w:r>
      <w:bookmarkEnd w:id="3"/>
      <w:bookmarkEnd w:id="4"/>
    </w:p>
    <w:p>
      <w:pPr>
        <w:pStyle w:val="4"/>
        <w:snapToGrid w:val="0"/>
        <w:spacing w:before="100" w:beforeAutospacing="1" w:after="100" w:afterAutospacing="1" w:line="240" w:lineRule="auto"/>
        <w:jc w:val="center"/>
        <w:rPr>
          <w:rFonts w:hint="eastAsia" w:ascii="宋体"/>
          <w:sz w:val="24"/>
          <w:szCs w:val="24"/>
          <w:highlight w:val="none"/>
        </w:rPr>
      </w:pPr>
      <w:bookmarkStart w:id="7" w:name="_Toc536788771"/>
      <w:r>
        <w:rPr>
          <w:rFonts w:hint="eastAsia" w:ascii="宋体"/>
          <w:sz w:val="24"/>
          <w:szCs w:val="24"/>
          <w:highlight w:val="none"/>
        </w:rPr>
        <w:t>附录1  资质审查条件（资质最低要求）</w:t>
      </w:r>
      <w:bookmarkEnd w:id="7"/>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szCs w:val="21"/>
                <w:highlight w:val="none"/>
              </w:rPr>
            </w:pPr>
            <w:r>
              <w:rPr>
                <w:rFonts w:hint="eastAsia" w:ascii="宋体"/>
                <w:b/>
                <w:szCs w:val="21"/>
                <w:highlight w:val="none"/>
              </w:rPr>
              <w:t>监理企业资质</w:t>
            </w:r>
            <w:r>
              <w:rPr>
                <w:rFonts w:hint="eastAsia" w:ascii="宋体"/>
                <w:b/>
                <w:szCs w:val="21"/>
                <w:highlight w:val="none"/>
                <w:lang w:val="en-US" w:eastAsia="zh-CN"/>
              </w:rPr>
              <w:t>等级</w:t>
            </w:r>
            <w:r>
              <w:rPr>
                <w:rFonts w:hint="eastAsia" w:ascii="宋体"/>
                <w:b/>
                <w:szCs w:val="21"/>
                <w:highlight w:val="none"/>
              </w:rPr>
              <w:t>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6" w:hRule="atLeast"/>
          <w:jc w:val="center"/>
        </w:trPr>
        <w:tc>
          <w:tcPr>
            <w:tcW w:w="8799" w:type="dxa"/>
            <w:noWrap w:val="0"/>
            <w:vAlign w:val="center"/>
          </w:tcPr>
          <w:p>
            <w:pPr>
              <w:rPr>
                <w:rFonts w:hint="eastAsia" w:ascii="宋体"/>
                <w:sz w:val="21"/>
                <w:szCs w:val="21"/>
                <w:highlight w:val="none"/>
                <w:u w:val="none"/>
              </w:rPr>
            </w:pPr>
            <w:r>
              <w:rPr>
                <w:rFonts w:hint="eastAsia" w:ascii="宋体"/>
                <w:sz w:val="21"/>
                <w:szCs w:val="21"/>
                <w:highlight w:val="none"/>
                <w:u w:val="none"/>
              </w:rPr>
              <w:t>具备独立企业法人资格，持有有效的企业营业执照；</w:t>
            </w:r>
          </w:p>
          <w:p>
            <w:pPr>
              <w:rPr>
                <w:rFonts w:hint="eastAsia" w:ascii="宋体" w:eastAsia="宋体"/>
                <w:sz w:val="21"/>
                <w:szCs w:val="21"/>
                <w:highlight w:val="none"/>
                <w:u w:val="none"/>
                <w:lang w:eastAsia="zh-CN"/>
              </w:rPr>
            </w:pPr>
            <w:r>
              <w:rPr>
                <w:rFonts w:hint="eastAsia" w:ascii="宋体" w:hAnsi="宋体" w:eastAsia="宋体" w:cs="宋体"/>
                <w:color w:val="000000"/>
                <w:sz w:val="21"/>
                <w:szCs w:val="21"/>
                <w:highlight w:val="none"/>
                <w:u w:val="none"/>
              </w:rPr>
              <w:t>具备</w:t>
            </w:r>
            <w:r>
              <w:rPr>
                <w:spacing w:val="-3"/>
                <w:sz w:val="21"/>
              </w:rPr>
              <w:t>交通运输部颁发的公路机电工程专项监理资质</w:t>
            </w:r>
            <w:r>
              <w:rPr>
                <w:rFonts w:hint="eastAsia" w:ascii="宋体" w:hAnsi="宋体" w:eastAsia="宋体" w:cs="宋体"/>
                <w:color w:val="000000"/>
                <w:sz w:val="21"/>
                <w:szCs w:val="21"/>
                <w:highlight w:val="none"/>
                <w:u w:val="none"/>
                <w:lang w:eastAsia="zh-CN"/>
              </w:rPr>
              <w:t>。</w:t>
            </w:r>
          </w:p>
        </w:tc>
      </w:tr>
    </w:tbl>
    <w:p>
      <w:pPr>
        <w:pStyle w:val="4"/>
        <w:spacing w:line="240" w:lineRule="auto"/>
        <w:jc w:val="center"/>
        <w:rPr>
          <w:rFonts w:hint="eastAsia" w:ascii="宋体"/>
          <w:sz w:val="24"/>
          <w:szCs w:val="24"/>
          <w:highlight w:val="none"/>
        </w:rPr>
      </w:pPr>
      <w:bookmarkStart w:id="8" w:name="_Toc536788772"/>
      <w:r>
        <w:rPr>
          <w:rFonts w:hint="eastAsia" w:ascii="宋体"/>
          <w:sz w:val="24"/>
          <w:szCs w:val="24"/>
          <w:highlight w:val="none"/>
        </w:rPr>
        <w:t>附录2  资质审查条件（业绩最低要求）</w:t>
      </w:r>
      <w:bookmarkEnd w:id="8"/>
      <w:r>
        <w:rPr>
          <w:rFonts w:hint="eastAsia" w:ascii="宋体"/>
          <w:sz w:val="24"/>
          <w:szCs w:val="24"/>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829" w:type="dxa"/>
            <w:noWrap w:val="0"/>
            <w:vAlign w:val="center"/>
          </w:tcPr>
          <w:p>
            <w:pPr>
              <w:jc w:val="center"/>
              <w:rPr>
                <w:rFonts w:hint="eastAsia" w:ascii="宋体"/>
                <w:szCs w:val="21"/>
                <w:highlight w:val="none"/>
              </w:rPr>
            </w:pPr>
            <w:r>
              <w:rPr>
                <w:rFonts w:hint="eastAsia" w:ascii="宋体" w:cs="宋体"/>
                <w:b/>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rPr>
                <w:rFonts w:hint="eastAsia" w:ascii="宋体"/>
                <w:szCs w:val="21"/>
                <w:highlight w:val="none"/>
              </w:rPr>
            </w:pPr>
            <w:r>
              <w:rPr>
                <w:rFonts w:hint="eastAsia" w:ascii="宋体"/>
                <w:szCs w:val="21"/>
                <w:highlight w:val="none"/>
              </w:rPr>
              <w:t>近5年内（201</w:t>
            </w:r>
            <w:r>
              <w:rPr>
                <w:rFonts w:hint="eastAsia" w:ascii="宋体"/>
                <w:szCs w:val="21"/>
                <w:highlight w:val="none"/>
                <w:lang w:val="en-US" w:eastAsia="zh-CN"/>
              </w:rPr>
              <w:t>7</w:t>
            </w:r>
            <w:r>
              <w:rPr>
                <w:rFonts w:hint="eastAsia" w:ascii="宋体"/>
                <w:szCs w:val="21"/>
                <w:highlight w:val="none"/>
              </w:rPr>
              <w:t>年</w:t>
            </w:r>
            <w:r>
              <w:rPr>
                <w:rFonts w:hint="eastAsia" w:ascii="宋体"/>
                <w:szCs w:val="21"/>
                <w:highlight w:val="none"/>
                <w:lang w:val="en-US" w:eastAsia="zh-CN"/>
              </w:rPr>
              <w:t>7月1日</w:t>
            </w:r>
            <w:r>
              <w:rPr>
                <w:rFonts w:hint="eastAsia" w:ascii="宋体"/>
                <w:szCs w:val="21"/>
                <w:highlight w:val="none"/>
              </w:rPr>
              <w:t>至今，以</w:t>
            </w:r>
            <w:r>
              <w:rPr>
                <w:rFonts w:hint="eastAsia" w:ascii="宋体"/>
                <w:szCs w:val="21"/>
                <w:highlight w:val="none"/>
                <w:lang w:val="en-US" w:eastAsia="zh-CN"/>
              </w:rPr>
              <w:t>工程竣（交）</w:t>
            </w:r>
            <w:r>
              <w:rPr>
                <w:rFonts w:hint="eastAsia" w:ascii="宋体"/>
                <w:szCs w:val="21"/>
                <w:highlight w:val="none"/>
              </w:rPr>
              <w:t>时间为准）</w:t>
            </w:r>
            <w:r>
              <w:rPr>
                <w:rFonts w:hint="eastAsia" w:ascii="宋体"/>
                <w:szCs w:val="21"/>
                <w:highlight w:val="none"/>
                <w:lang w:val="en-US" w:eastAsia="zh-CN"/>
              </w:rPr>
              <w:t>至少</w:t>
            </w:r>
            <w:r>
              <w:rPr>
                <w:rFonts w:hint="eastAsia" w:ascii="宋体"/>
                <w:szCs w:val="21"/>
                <w:highlight w:val="none"/>
              </w:rPr>
              <w:t>独立成功完成过1项</w:t>
            </w:r>
            <w:r>
              <w:rPr>
                <w:rFonts w:hint="eastAsia" w:ascii="宋体"/>
                <w:szCs w:val="21"/>
                <w:highlight w:val="none"/>
                <w:lang w:val="en-US" w:eastAsia="zh-CN"/>
              </w:rPr>
              <w:t>高速公路机电</w:t>
            </w:r>
            <w:r>
              <w:rPr>
                <w:rFonts w:hint="eastAsia" w:ascii="宋体"/>
                <w:szCs w:val="21"/>
                <w:highlight w:val="none"/>
              </w:rPr>
              <w:t>工程施工监理业绩。</w:t>
            </w:r>
          </w:p>
        </w:tc>
      </w:tr>
    </w:tbl>
    <w:p>
      <w:pPr>
        <w:pStyle w:val="4"/>
        <w:spacing w:line="240" w:lineRule="auto"/>
        <w:jc w:val="center"/>
        <w:rPr>
          <w:rFonts w:hint="eastAsia" w:ascii="宋体"/>
          <w:highlight w:val="none"/>
        </w:rPr>
      </w:pPr>
      <w:bookmarkStart w:id="9" w:name="_Toc536788773"/>
      <w:r>
        <w:rPr>
          <w:rFonts w:hint="eastAsia" w:ascii="宋体"/>
          <w:sz w:val="24"/>
          <w:szCs w:val="24"/>
          <w:highlight w:val="none"/>
        </w:rPr>
        <w:t>附录3  资质审查条件（信誉最低要求）</w:t>
      </w:r>
      <w:bookmarkEnd w:id="9"/>
      <w:r>
        <w:rPr>
          <w:rFonts w:hint="eastAsia" w:ascii="宋体"/>
          <w:sz w:val="24"/>
          <w:szCs w:val="24"/>
          <w:highlight w:val="none"/>
        </w:rPr>
        <w:t xml:space="preserve"> </w:t>
      </w:r>
      <w:r>
        <w:rPr>
          <w:rFonts w:hint="eastAsia" w:ascii="宋体"/>
          <w:b w:val="0"/>
          <w:sz w:val="24"/>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szCs w:val="21"/>
                <w:highlight w:val="none"/>
              </w:rPr>
            </w:pPr>
            <w:r>
              <w:rPr>
                <w:rFonts w:hint="eastAsia" w:ascii="宋体"/>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szCs w:val="21"/>
                <w:highlight w:val="none"/>
              </w:rPr>
            </w:pPr>
            <w:r>
              <w:rPr>
                <w:rFonts w:hint="eastAsia" w:ascii="宋体"/>
                <w:szCs w:val="21"/>
                <w:highlight w:val="none"/>
              </w:rPr>
              <w:t>投标人过去1年（20</w:t>
            </w:r>
            <w:r>
              <w:rPr>
                <w:rFonts w:hint="eastAsia" w:ascii="宋体"/>
                <w:szCs w:val="21"/>
                <w:highlight w:val="none"/>
                <w:lang w:val="en-US" w:eastAsia="zh-CN"/>
              </w:rPr>
              <w:t>21</w:t>
            </w:r>
            <w:r>
              <w:rPr>
                <w:rFonts w:hint="eastAsia" w:ascii="宋体"/>
                <w:szCs w:val="21"/>
                <w:highlight w:val="none"/>
              </w:rPr>
              <w:t>年</w:t>
            </w:r>
            <w:r>
              <w:rPr>
                <w:rFonts w:hint="eastAsia" w:ascii="宋体"/>
                <w:szCs w:val="21"/>
                <w:highlight w:val="none"/>
                <w:lang w:val="en-US" w:eastAsia="zh-CN"/>
              </w:rPr>
              <w:t>7月1日</w:t>
            </w:r>
            <w:r>
              <w:rPr>
                <w:rFonts w:hint="eastAsia" w:ascii="宋体"/>
                <w:szCs w:val="21"/>
                <w:highlight w:val="none"/>
              </w:rPr>
              <w:t>至今）中不曾在</w:t>
            </w:r>
            <w:r>
              <w:rPr>
                <w:rFonts w:hint="eastAsia" w:ascii="宋体"/>
                <w:szCs w:val="21"/>
                <w:highlight w:val="none"/>
                <w:lang w:val="en-US" w:eastAsia="zh-CN"/>
              </w:rPr>
              <w:t>高速</w:t>
            </w:r>
            <w:r>
              <w:rPr>
                <w:rFonts w:hint="eastAsia" w:ascii="宋体"/>
                <w:szCs w:val="21"/>
                <w:highlight w:val="none"/>
              </w:rPr>
              <w:t>公路</w:t>
            </w:r>
            <w:r>
              <w:rPr>
                <w:rFonts w:hint="eastAsia" w:ascii="宋体"/>
                <w:szCs w:val="21"/>
                <w:highlight w:val="none"/>
                <w:lang w:val="en-US" w:eastAsia="zh-CN"/>
              </w:rPr>
              <w:t>机电监理</w:t>
            </w:r>
            <w:r>
              <w:rPr>
                <w:rFonts w:hint="eastAsia" w:ascii="宋体"/>
                <w:szCs w:val="21"/>
                <w:highlight w:val="none"/>
              </w:rPr>
              <w:t>合同中违约而被驱逐或因投标人自身的原因而使</w:t>
            </w:r>
            <w:r>
              <w:rPr>
                <w:rFonts w:hint="eastAsia" w:ascii="宋体"/>
                <w:szCs w:val="21"/>
                <w:highlight w:val="none"/>
                <w:lang w:val="en-US" w:eastAsia="zh-CN"/>
              </w:rPr>
              <w:t>高速</w:t>
            </w:r>
            <w:r>
              <w:rPr>
                <w:rFonts w:hint="eastAsia" w:ascii="宋体"/>
                <w:szCs w:val="21"/>
                <w:highlight w:val="none"/>
              </w:rPr>
              <w:t>公路</w:t>
            </w:r>
            <w:r>
              <w:rPr>
                <w:rFonts w:hint="eastAsia" w:ascii="宋体"/>
                <w:szCs w:val="21"/>
                <w:highlight w:val="none"/>
                <w:lang w:val="en-US" w:eastAsia="zh-CN"/>
              </w:rPr>
              <w:t>机电监理</w:t>
            </w:r>
            <w:r>
              <w:rPr>
                <w:rFonts w:hint="eastAsia" w:ascii="宋体"/>
                <w:szCs w:val="21"/>
                <w:highlight w:val="none"/>
              </w:rPr>
              <w:t>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highlight w:val="none"/>
              </w:rPr>
            </w:pPr>
          </w:p>
        </w:tc>
      </w:tr>
    </w:tbl>
    <w:p>
      <w:pPr>
        <w:pStyle w:val="4"/>
        <w:jc w:val="center"/>
        <w:rPr>
          <w:rFonts w:hint="eastAsia" w:ascii="宋体"/>
          <w:sz w:val="24"/>
          <w:szCs w:val="24"/>
          <w:highlight w:val="none"/>
        </w:rPr>
      </w:pPr>
      <w:bookmarkStart w:id="10" w:name="_Toc536788774"/>
      <w:r>
        <w:rPr>
          <w:rFonts w:hint="eastAsia" w:ascii="宋体"/>
          <w:sz w:val="24"/>
          <w:szCs w:val="24"/>
          <w:highlight w:val="none"/>
        </w:rPr>
        <w:t>附录4  资质审查条件（总监理工程师最低要求）</w:t>
      </w:r>
      <w:bookmarkEnd w:id="10"/>
      <w:r>
        <w:rPr>
          <w:rFonts w:hint="eastAsia" w:ascii="宋体"/>
          <w:sz w:val="24"/>
          <w:szCs w:val="24"/>
          <w:highlight w:val="none"/>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2"/>
        <w:gridCol w:w="850"/>
        <w:gridCol w:w="4431"/>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blHeader/>
          <w:jc w:val="center"/>
        </w:trPr>
        <w:tc>
          <w:tcPr>
            <w:tcW w:w="1672" w:type="dxa"/>
            <w:noWrap w:val="0"/>
            <w:vAlign w:val="center"/>
          </w:tcPr>
          <w:p>
            <w:pPr>
              <w:pStyle w:val="6"/>
              <w:spacing w:before="0" w:beforeAutospacing="0" w:after="0" w:afterAutospacing="0"/>
              <w:contextualSpacing/>
              <w:jc w:val="center"/>
              <w:rPr>
                <w:color w:val="auto"/>
                <w:sz w:val="21"/>
                <w:szCs w:val="21"/>
                <w:highlight w:val="none"/>
              </w:rPr>
            </w:pPr>
            <w:r>
              <w:rPr>
                <w:rFonts w:hint="eastAsia"/>
                <w:color w:val="auto"/>
                <w:sz w:val="21"/>
                <w:szCs w:val="21"/>
                <w:highlight w:val="none"/>
              </w:rPr>
              <w:t>人员</w:t>
            </w:r>
          </w:p>
        </w:tc>
        <w:tc>
          <w:tcPr>
            <w:tcW w:w="850" w:type="dxa"/>
            <w:noWrap w:val="0"/>
            <w:vAlign w:val="center"/>
          </w:tcPr>
          <w:p>
            <w:pPr>
              <w:pStyle w:val="6"/>
              <w:spacing w:before="0" w:beforeAutospacing="0" w:after="0" w:afterAutospacing="0"/>
              <w:contextualSpacing/>
              <w:jc w:val="center"/>
              <w:rPr>
                <w:rFonts w:hint="eastAsia"/>
                <w:color w:val="auto"/>
                <w:sz w:val="21"/>
                <w:szCs w:val="21"/>
                <w:highlight w:val="none"/>
              </w:rPr>
            </w:pPr>
            <w:r>
              <w:rPr>
                <w:rFonts w:hint="eastAsia"/>
                <w:color w:val="auto"/>
                <w:sz w:val="21"/>
                <w:szCs w:val="21"/>
                <w:highlight w:val="none"/>
              </w:rPr>
              <w:t>数量</w:t>
            </w:r>
          </w:p>
        </w:tc>
        <w:tc>
          <w:tcPr>
            <w:tcW w:w="4431" w:type="dxa"/>
            <w:noWrap w:val="0"/>
            <w:vAlign w:val="center"/>
          </w:tcPr>
          <w:p>
            <w:pPr>
              <w:pStyle w:val="6"/>
              <w:spacing w:before="0" w:beforeAutospacing="0" w:after="0" w:afterAutospacing="0"/>
              <w:contextualSpacing/>
              <w:jc w:val="center"/>
              <w:rPr>
                <w:color w:val="auto"/>
                <w:sz w:val="21"/>
                <w:szCs w:val="21"/>
                <w:highlight w:val="none"/>
              </w:rPr>
            </w:pPr>
            <w:r>
              <w:rPr>
                <w:rFonts w:hint="eastAsia"/>
                <w:color w:val="auto"/>
                <w:sz w:val="21"/>
                <w:szCs w:val="21"/>
                <w:highlight w:val="none"/>
              </w:rPr>
              <w:t>资格要求</w:t>
            </w:r>
          </w:p>
        </w:tc>
        <w:tc>
          <w:tcPr>
            <w:tcW w:w="1905" w:type="dxa"/>
            <w:noWrap w:val="0"/>
            <w:vAlign w:val="center"/>
          </w:tcPr>
          <w:p>
            <w:pPr>
              <w:pStyle w:val="6"/>
              <w:spacing w:before="0" w:beforeAutospacing="0" w:after="0" w:afterAutospacing="0"/>
              <w:contextualSpacing/>
              <w:jc w:val="center"/>
              <w:rPr>
                <w:rFonts w:hint="eastAsia"/>
                <w:color w:val="auto"/>
                <w:sz w:val="21"/>
                <w:szCs w:val="21"/>
                <w:highlight w:val="none"/>
              </w:rPr>
            </w:pPr>
            <w:r>
              <w:rPr>
                <w:rFonts w:hint="eastAsia"/>
                <w:color w:val="auto"/>
                <w:sz w:val="21"/>
                <w:szCs w:val="21"/>
                <w:highlight w:val="none"/>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2" w:hRule="atLeast"/>
          <w:jc w:val="center"/>
        </w:trPr>
        <w:tc>
          <w:tcPr>
            <w:tcW w:w="1672" w:type="dxa"/>
            <w:noWrap w:val="0"/>
            <w:vAlign w:val="center"/>
          </w:tcPr>
          <w:p>
            <w:pPr>
              <w:spacing w:line="240" w:lineRule="exact"/>
              <w:jc w:val="center"/>
              <w:rPr>
                <w:rFonts w:hint="eastAsia" w:ascii="宋体"/>
                <w:szCs w:val="21"/>
                <w:highlight w:val="none"/>
              </w:rPr>
            </w:pPr>
            <w:r>
              <w:rPr>
                <w:rFonts w:hint="eastAsia" w:ascii="宋体"/>
                <w:szCs w:val="21"/>
                <w:highlight w:val="none"/>
              </w:rPr>
              <w:t>总监理工程师</w:t>
            </w:r>
          </w:p>
        </w:tc>
        <w:tc>
          <w:tcPr>
            <w:tcW w:w="850" w:type="dxa"/>
            <w:noWrap w:val="0"/>
            <w:vAlign w:val="center"/>
          </w:tcPr>
          <w:p>
            <w:pPr>
              <w:spacing w:line="240" w:lineRule="exact"/>
              <w:jc w:val="center"/>
              <w:rPr>
                <w:rFonts w:hint="eastAsia" w:ascii="宋体"/>
                <w:szCs w:val="21"/>
                <w:highlight w:val="none"/>
              </w:rPr>
            </w:pPr>
            <w:r>
              <w:rPr>
                <w:rFonts w:hint="eastAsia" w:ascii="宋体"/>
                <w:szCs w:val="21"/>
                <w:highlight w:val="none"/>
              </w:rPr>
              <w:t>1</w:t>
            </w:r>
          </w:p>
        </w:tc>
        <w:tc>
          <w:tcPr>
            <w:tcW w:w="4431" w:type="dxa"/>
            <w:noWrap w:val="0"/>
            <w:vAlign w:val="center"/>
          </w:tcPr>
          <w:p>
            <w:pPr>
              <w:pStyle w:val="6"/>
              <w:snapToGrid w:val="0"/>
              <w:spacing w:before="0" w:beforeAutospacing="0" w:after="0" w:afterAutospacing="0" w:line="320" w:lineRule="exact"/>
              <w:jc w:val="left"/>
              <w:rPr>
                <w:rFonts w:hint="eastAsia"/>
                <w:color w:val="auto"/>
                <w:sz w:val="21"/>
                <w:szCs w:val="21"/>
                <w:highlight w:val="none"/>
              </w:rPr>
            </w:pPr>
            <w:r>
              <w:rPr>
                <w:rFonts w:hint="eastAsia"/>
                <w:color w:val="auto"/>
                <w:sz w:val="21"/>
                <w:szCs w:val="21"/>
                <w:highlight w:val="none"/>
              </w:rPr>
              <w:t>具有高级技术职称，</w:t>
            </w:r>
            <w:r>
              <w:rPr>
                <w:rFonts w:hint="eastAsia"/>
                <w:color w:val="auto"/>
                <w:sz w:val="21"/>
                <w:szCs w:val="21"/>
              </w:rPr>
              <w:t>具有交通运输部颁发的机电工程监理工程师证书，至少担任过1项高速公路机电工程施工监理项目总监理工程师或驻地监理工程师</w:t>
            </w:r>
            <w:r>
              <w:rPr>
                <w:rFonts w:hint="eastAsia"/>
                <w:color w:val="auto"/>
                <w:sz w:val="21"/>
                <w:szCs w:val="21"/>
                <w:highlight w:val="none"/>
              </w:rPr>
              <w:t>。</w:t>
            </w:r>
          </w:p>
        </w:tc>
        <w:tc>
          <w:tcPr>
            <w:tcW w:w="1905" w:type="dxa"/>
            <w:noWrap w:val="0"/>
            <w:vAlign w:val="center"/>
          </w:tcPr>
          <w:p>
            <w:pPr>
              <w:pStyle w:val="6"/>
              <w:snapToGrid w:val="0"/>
              <w:spacing w:before="0" w:beforeAutospacing="0" w:after="0" w:afterAutospacing="0" w:line="320" w:lineRule="exact"/>
              <w:jc w:val="center"/>
              <w:rPr>
                <w:rFonts w:hint="eastAsia"/>
                <w:color w:val="auto"/>
                <w:sz w:val="21"/>
                <w:szCs w:val="21"/>
                <w:highlight w:val="none"/>
              </w:rPr>
            </w:pPr>
            <w:r>
              <w:rPr>
                <w:rFonts w:hint="eastAsia"/>
                <w:color w:val="auto"/>
                <w:sz w:val="21"/>
                <w:szCs w:val="21"/>
                <w:highlight w:val="none"/>
              </w:rPr>
              <w:t>目前未在其他项目上任职，或虽在其他项目上任职承诺本项目中标后能够从该项目撤离</w:t>
            </w:r>
          </w:p>
        </w:tc>
      </w:tr>
    </w:tbl>
    <w:p>
      <w:pPr>
        <w:rPr>
          <w:rFonts w:ascii="宋体"/>
          <w:b/>
          <w:sz w:val="24"/>
          <w:highlight w:val="none"/>
        </w:rPr>
      </w:pPr>
      <w:bookmarkStart w:id="11" w:name="_Toc470776154"/>
    </w:p>
    <w:p>
      <w:pPr>
        <w:rPr>
          <w:rFonts w:hint="eastAsia" w:ascii="宋体" w:hAnsi="宋体"/>
          <w:b/>
          <w:sz w:val="24"/>
          <w:highlight w:val="none"/>
        </w:rPr>
      </w:pPr>
      <w:r>
        <w:rPr>
          <w:rFonts w:ascii="宋体"/>
          <w:b/>
          <w:sz w:val="24"/>
          <w:highlight w:val="none"/>
        </w:rPr>
        <w:br w:type="page"/>
      </w:r>
      <w:bookmarkEnd w:id="6"/>
      <w:bookmarkEnd w:id="11"/>
      <w:bookmarkStart w:id="12" w:name="_Toc470776155"/>
      <w:r>
        <w:rPr>
          <w:rFonts w:hint="eastAsia" w:ascii="宋体" w:hAnsi="宋体"/>
          <w:b/>
          <w:sz w:val="24"/>
          <w:highlight w:val="none"/>
        </w:rPr>
        <w:t>附件</w:t>
      </w:r>
      <w:r>
        <w:rPr>
          <w:rFonts w:hint="eastAsia" w:ascii="宋体" w:hAnsi="宋体"/>
          <w:b/>
          <w:sz w:val="24"/>
          <w:highlight w:val="none"/>
          <w:lang w:val="en-US" w:eastAsia="zh-CN"/>
        </w:rPr>
        <w:t>2</w:t>
      </w:r>
      <w:r>
        <w:rPr>
          <w:rFonts w:hint="eastAsia" w:ascii="宋体" w:hAnsi="宋体"/>
          <w:b/>
          <w:sz w:val="24"/>
          <w:highlight w:val="none"/>
        </w:rPr>
        <w:t>：评标办法</w:t>
      </w:r>
      <w:bookmarkEnd w:id="5"/>
      <w:bookmarkEnd w:id="12"/>
    </w:p>
    <w:p>
      <w:pPr>
        <w:spacing w:line="360" w:lineRule="auto"/>
        <w:rPr>
          <w:rFonts w:ascii="宋体" w:hAnsi="宋体"/>
          <w:b/>
          <w:sz w:val="24"/>
          <w:highlight w:val="none"/>
        </w:rPr>
      </w:pPr>
      <w:r>
        <w:rPr>
          <w:rFonts w:hint="eastAsia" w:ascii="宋体" w:hAnsi="宋体"/>
          <w:b/>
          <w:sz w:val="24"/>
          <w:highlight w:val="none"/>
        </w:rPr>
        <w:t>评标办法前附表</w:t>
      </w:r>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条款号</w:t>
            </w:r>
          </w:p>
        </w:tc>
        <w:tc>
          <w:tcPr>
            <w:tcW w:w="7197" w:type="dxa"/>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szCs w:val="21"/>
                <w:highlight w:val="none"/>
              </w:rPr>
            </w:pPr>
            <w:r>
              <w:rPr>
                <w:rFonts w:hint="eastAsia" w:ascii="宋体" w:hAnsi="宋体"/>
                <w:b/>
                <w:szCs w:val="21"/>
                <w:highlight w:val="none"/>
              </w:rPr>
              <w:t>1</w:t>
            </w:r>
          </w:p>
        </w:tc>
        <w:tc>
          <w:tcPr>
            <w:tcW w:w="1317" w:type="dxa"/>
            <w:noWrap w:val="0"/>
            <w:vAlign w:val="center"/>
          </w:tcPr>
          <w:p>
            <w:pPr>
              <w:jc w:val="center"/>
              <w:rPr>
                <w:b/>
                <w:highlight w:val="none"/>
              </w:rPr>
            </w:pPr>
            <w:r>
              <w:rPr>
                <w:rFonts w:hint="eastAsia" w:ascii="宋体" w:hAnsi="宋体"/>
                <w:szCs w:val="21"/>
                <w:highlight w:val="none"/>
              </w:rPr>
              <w:t>评标办法</w:t>
            </w:r>
          </w:p>
        </w:tc>
        <w:tc>
          <w:tcPr>
            <w:tcW w:w="7197" w:type="dxa"/>
            <w:noWrap w:val="0"/>
            <w:vAlign w:val="center"/>
          </w:tcPr>
          <w:p>
            <w:pPr>
              <w:keepNext w:val="0"/>
              <w:keepLines w:val="0"/>
              <w:pageBreakBefore w:val="0"/>
              <w:widowControl w:val="0"/>
              <w:kinsoku/>
              <w:wordWrap/>
              <w:overflowPunct/>
              <w:topLinePunct w:val="0"/>
              <w:autoSpaceDE/>
              <w:autoSpaceDN/>
              <w:bidi w:val="0"/>
              <w:snapToGrid w:val="0"/>
              <w:spacing w:line="320" w:lineRule="exact"/>
              <w:ind w:firstLine="420" w:firstLineChars="200"/>
              <w:jc w:val="left"/>
              <w:textAlignment w:val="baseline"/>
              <w:rPr>
                <w:rFonts w:hint="eastAsia"/>
              </w:rPr>
            </w:pPr>
            <w:r>
              <w:rPr>
                <w:rFonts w:hint="eastAsia"/>
              </w:rPr>
              <w:t>本次评标采用综合评估法。评标委员会对满足招标文件实质性要求的投标文件，按照本章第2.2款规定的评分标准进行打分，并按得分由高到低顺序推荐</w:t>
            </w:r>
            <w:r>
              <w:rPr>
                <w:rFonts w:hint="eastAsia"/>
                <w:lang w:val="en-US" w:eastAsia="zh-CN"/>
              </w:rPr>
              <w:t>1-3</w:t>
            </w:r>
            <w:r>
              <w:rPr>
                <w:rFonts w:hint="eastAsia"/>
              </w:rPr>
              <w:t>中标候选人。综合评分相等时，评标委员会依次按照以下优先顺序推荐中标候选人：</w:t>
            </w:r>
          </w:p>
          <w:p>
            <w:pPr>
              <w:adjustRightInd w:val="0"/>
              <w:snapToGrid w:val="0"/>
              <w:spacing w:line="300" w:lineRule="exact"/>
              <w:ind w:firstLine="420" w:firstLineChars="200"/>
            </w:pPr>
            <w:r>
              <w:rPr>
                <w:rFonts w:hint="eastAsia"/>
              </w:rPr>
              <w:t>（</w:t>
            </w:r>
            <w:r>
              <w:t>1</w:t>
            </w:r>
            <w:r>
              <w:rPr>
                <w:rFonts w:hint="eastAsia"/>
              </w:rPr>
              <w:t>）评标价低的投标人优先；</w:t>
            </w:r>
          </w:p>
          <w:p>
            <w:pPr>
              <w:adjustRightInd w:val="0"/>
              <w:snapToGrid w:val="0"/>
              <w:spacing w:line="300" w:lineRule="exact"/>
              <w:ind w:firstLine="420" w:firstLineChars="200"/>
            </w:pPr>
            <w:r>
              <w:rPr>
                <w:rFonts w:hint="eastAsia"/>
              </w:rPr>
              <w:t>（</w:t>
            </w:r>
            <w:r>
              <w:t>2</w:t>
            </w:r>
            <w:r>
              <w:rPr>
                <w:rFonts w:hint="eastAsia"/>
              </w:rPr>
              <w:t>）技术得分较高的投标人优先；</w:t>
            </w:r>
          </w:p>
          <w:p>
            <w:pPr>
              <w:adjustRightInd w:val="0"/>
              <w:snapToGrid w:val="0"/>
              <w:spacing w:line="300" w:lineRule="exact"/>
              <w:ind w:firstLine="420" w:firstLineChars="200"/>
              <w:rPr>
                <w:rFonts w:hint="eastAsia"/>
              </w:rPr>
            </w:pPr>
            <w:r>
              <w:rPr>
                <w:rFonts w:hint="eastAsia"/>
              </w:rPr>
              <w:t>（</w:t>
            </w:r>
            <w:r>
              <w:t>3</w:t>
            </w:r>
            <w:r>
              <w:rPr>
                <w:rFonts w:hint="eastAsia"/>
              </w:rPr>
              <w:t>）投标人近</w:t>
            </w:r>
            <w:r>
              <w:t>5</w:t>
            </w:r>
            <w:r>
              <w:rPr>
                <w:rFonts w:hint="eastAsia"/>
              </w:rPr>
              <w:t>年内满足资格审查条件</w:t>
            </w:r>
            <w:r>
              <w:t>(</w:t>
            </w:r>
            <w:r>
              <w:rPr>
                <w:rFonts w:hint="eastAsia"/>
              </w:rPr>
              <w:t>业绩最低条件</w:t>
            </w:r>
            <w:r>
              <w:t>)</w:t>
            </w:r>
            <w:r>
              <w:rPr>
                <w:rFonts w:hint="eastAsia"/>
              </w:rPr>
              <w:t>要求的业绩累计金额高的优先。</w:t>
            </w:r>
          </w:p>
          <w:p>
            <w:pPr>
              <w:pStyle w:val="2"/>
              <w:rPr>
                <w:rFonts w:hint="default" w:eastAsia="宋体"/>
                <w:lang w:val="en-US" w:eastAsia="zh-CN"/>
              </w:rPr>
            </w:pPr>
            <w:r>
              <w:rPr>
                <w:rFonts w:hint="eastAsia" w:ascii="宋体" w:hAnsi="宋体"/>
                <w:szCs w:val="21"/>
                <w:highlight w:val="none"/>
                <w:lang w:val="en-US" w:eastAsia="zh-CN"/>
              </w:rPr>
              <w:t xml:space="preserve">   </w:t>
            </w:r>
            <w:r>
              <w:rPr>
                <w:rFonts w:hint="eastAsia" w:ascii="宋体" w:hAnsi="宋体"/>
                <w:color w:val="000000"/>
                <w:sz w:val="21"/>
                <w:szCs w:val="21"/>
                <w:lang w:val="en-US" w:eastAsia="zh-CN"/>
              </w:rPr>
              <w:t>与本项目施工中标人存在关联关系的单位不再推荐为中标候选人</w:t>
            </w:r>
            <w:r>
              <w:rPr>
                <w:rFonts w:hint="eastAsia" w:ascii="宋体"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2.1.1</w:t>
            </w:r>
          </w:p>
          <w:p>
            <w:pPr>
              <w:adjustRightInd w:val="0"/>
              <w:snapToGrid w:val="0"/>
              <w:spacing w:line="320" w:lineRule="exact"/>
              <w:jc w:val="center"/>
              <w:rPr>
                <w:rFonts w:ascii="宋体" w:hAnsi="宋体"/>
                <w:szCs w:val="21"/>
                <w:highlight w:val="none"/>
              </w:rPr>
            </w:pPr>
            <w:r>
              <w:rPr>
                <w:rFonts w:hint="eastAsia" w:ascii="宋体" w:hAnsi="宋体"/>
                <w:szCs w:val="21"/>
                <w:highlight w:val="none"/>
              </w:rPr>
              <w:t>2.1.3</w:t>
            </w:r>
          </w:p>
        </w:tc>
        <w:tc>
          <w:tcPr>
            <w:tcW w:w="1317"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形式评审与响应性评审标准</w:t>
            </w:r>
          </w:p>
        </w:tc>
        <w:tc>
          <w:tcPr>
            <w:tcW w:w="7197" w:type="dxa"/>
            <w:noWrap w:val="0"/>
            <w:vAlign w:val="top"/>
          </w:tcPr>
          <w:p>
            <w:pPr>
              <w:tabs>
                <w:tab w:val="left" w:pos="3060"/>
              </w:tabs>
              <w:spacing w:line="320" w:lineRule="exact"/>
              <w:rPr>
                <w:rFonts w:hint="eastAsia"/>
                <w:highlight w:val="none"/>
              </w:rPr>
            </w:pPr>
            <w:r>
              <w:rPr>
                <w:rFonts w:hint="eastAsia"/>
                <w:highlight w:val="none"/>
              </w:rPr>
              <w:t>第一个信封（商务及技术文件）评审标准: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a.投标函按招标文件规定填报了补遗书编号（如有）、质量要求、安全目标、监理服务期限及总监理工程师信息；</w:t>
            </w:r>
          </w:p>
          <w:p>
            <w:pPr>
              <w:snapToGrid w:val="0"/>
              <w:spacing w:line="280" w:lineRule="exact"/>
              <w:ind w:firstLine="420" w:firstLineChars="200"/>
              <w:rPr>
                <w:highlight w:val="none"/>
              </w:rPr>
            </w:pPr>
            <w:r>
              <w:rPr>
                <w:highlight w:val="none"/>
              </w:rPr>
              <w:t>b</w:t>
            </w:r>
            <w:r>
              <w:rPr>
                <w:rFonts w:hint="eastAsia"/>
                <w:highlight w:val="none"/>
              </w:rPr>
              <w:t>.投标文件组成齐全完整，内容均按规定填写。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snapToGrid w:val="0"/>
              <w:spacing w:line="280" w:lineRule="exact"/>
              <w:ind w:firstLine="210" w:firstLineChars="100"/>
              <w:rPr>
                <w:highlight w:val="none"/>
              </w:rPr>
            </w:pPr>
            <w:r>
              <w:rPr>
                <w:rFonts w:hint="eastAsia"/>
                <w:highlight w:val="none"/>
              </w:rPr>
              <w:t>（3）投标人按照招标文件的规定提供了投标保证金：</w:t>
            </w:r>
          </w:p>
          <w:p>
            <w:pPr>
              <w:snapToGrid w:val="0"/>
              <w:spacing w:line="280" w:lineRule="exact"/>
              <w:ind w:firstLine="420" w:firstLineChars="200"/>
              <w:rPr>
                <w:highlight w:val="none"/>
              </w:rPr>
            </w:pPr>
            <w:r>
              <w:rPr>
                <w:rFonts w:hint="eastAsia"/>
                <w:highlight w:val="none"/>
              </w:rPr>
              <w:t>a.投标保证金金额符合招标文件规定的金额，且投标保证金有效期不少于投标有效期；</w:t>
            </w:r>
          </w:p>
          <w:p>
            <w:pPr>
              <w:snapToGrid w:val="0"/>
              <w:spacing w:line="280" w:lineRule="exact"/>
              <w:ind w:firstLine="420" w:firstLineChars="200"/>
              <w:rPr>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rPr>
                <w:highlight w:val="none"/>
              </w:rPr>
            </w:pPr>
            <w:r>
              <w:rPr>
                <w:rFonts w:hint="eastAsia"/>
                <w:highlight w:val="none"/>
                <w:lang w:val="en-US" w:eastAsia="zh-CN"/>
              </w:rPr>
              <w:t>c</w:t>
            </w:r>
            <w:r>
              <w:rPr>
                <w:rFonts w:hint="eastAsia"/>
                <w:highlight w:val="none"/>
              </w:rPr>
              <w:t>.若投标保证金采用银行保函形式提交，银行保函的格式、开具保函的银行均满足招标文件要求，且在递交投标文件截止时间之前向招标人提交了银行保函原件。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rPr>
                <w:highlight w:val="none"/>
              </w:rPr>
            </w:pPr>
            <w:r>
              <w:rPr>
                <w:rFonts w:hint="eastAsia"/>
                <w:highlight w:val="none"/>
              </w:rPr>
              <w:t xml:space="preserve">（4）投标人法定代表人授权委托代理人签署投标文件的，须提交授权委托书，授权委托书的签字盖章符合招标文件规定。 </w:t>
            </w:r>
          </w:p>
          <w:p>
            <w:pPr>
              <w:snapToGrid w:val="0"/>
              <w:spacing w:line="28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highlight w:val="none"/>
              </w:rPr>
            </w:pPr>
            <w:r>
              <w:rPr>
                <w:rFonts w:hint="eastAsia"/>
                <w:highlight w:val="none"/>
              </w:rPr>
              <w:t>（</w:t>
            </w:r>
            <w:r>
              <w:rPr>
                <w:highlight w:val="none"/>
              </w:rPr>
              <w:t>6</w:t>
            </w:r>
            <w:r>
              <w:rPr>
                <w:rFonts w:hint="eastAsia"/>
                <w:highlight w:val="none"/>
              </w:rPr>
              <w:t>）投标人未以联合体形式投标。</w:t>
            </w:r>
          </w:p>
          <w:p>
            <w:pPr>
              <w:tabs>
                <w:tab w:val="left" w:pos="3060"/>
              </w:tabs>
              <w:spacing w:line="320" w:lineRule="exact"/>
              <w:ind w:firstLine="210" w:firstLineChars="100"/>
              <w:rPr>
                <w:rFonts w:hint="eastAsia"/>
                <w:highlight w:val="none"/>
              </w:rPr>
            </w:pPr>
            <w:r>
              <w:rPr>
                <w:rFonts w:hint="eastAsia"/>
                <w:highlight w:val="none"/>
              </w:rPr>
              <w:t>（</w:t>
            </w:r>
            <w:r>
              <w:rPr>
                <w:highlight w:val="none"/>
              </w:rPr>
              <w:t>7</w:t>
            </w:r>
            <w:r>
              <w:rPr>
                <w:rFonts w:hint="eastAsia"/>
                <w:highlight w:val="none"/>
              </w:rPr>
              <w:t>）</w:t>
            </w:r>
            <w:r>
              <w:rPr>
                <w:highlight w:val="none"/>
              </w:rPr>
              <w:t>投标人未对本项目提出分包计划</w:t>
            </w:r>
            <w:r>
              <w:rPr>
                <w:rFonts w:hint="eastAsia"/>
                <w:highlight w:val="none"/>
              </w:rPr>
              <w:t>。</w:t>
            </w:r>
          </w:p>
          <w:p>
            <w:pPr>
              <w:tabs>
                <w:tab w:val="left" w:pos="3060"/>
              </w:tabs>
              <w:spacing w:line="320" w:lineRule="exact"/>
              <w:ind w:firstLine="210" w:firstLineChars="100"/>
              <w:rPr>
                <w:rFonts w:hint="eastAsia"/>
                <w:highlight w:val="none"/>
              </w:rPr>
            </w:pPr>
            <w:r>
              <w:rPr>
                <w:rFonts w:hint="eastAsia"/>
                <w:highlight w:val="none"/>
              </w:rPr>
              <w:t>（</w:t>
            </w:r>
            <w:r>
              <w:rPr>
                <w:highlight w:val="none"/>
              </w:rPr>
              <w:t>8</w:t>
            </w:r>
            <w:r>
              <w:rPr>
                <w:rFonts w:hint="eastAsia"/>
                <w:highlight w:val="none"/>
              </w:rPr>
              <w:t>）同一投标人未提交两个以上不同的投标文件。</w:t>
            </w:r>
          </w:p>
          <w:p>
            <w:pPr>
              <w:tabs>
                <w:tab w:val="left" w:pos="3060"/>
              </w:tabs>
              <w:spacing w:line="320" w:lineRule="exact"/>
              <w:ind w:firstLine="210" w:firstLineChars="100"/>
              <w:rPr>
                <w:rFonts w:hint="eastAsia"/>
                <w:highlight w:val="none"/>
              </w:rPr>
            </w:pPr>
            <w:r>
              <w:rPr>
                <w:rFonts w:hint="eastAsia"/>
                <w:highlight w:val="none"/>
              </w:rPr>
              <w:t>（</w:t>
            </w:r>
            <w:r>
              <w:rPr>
                <w:highlight w:val="none"/>
              </w:rPr>
              <w:t>9</w:t>
            </w:r>
            <w:r>
              <w:rPr>
                <w:rFonts w:hint="eastAsia"/>
                <w:highlight w:val="none"/>
              </w:rPr>
              <w:t>）投标文件中未出现有关投标报价的内容。</w:t>
            </w:r>
          </w:p>
          <w:p>
            <w:pPr>
              <w:tabs>
                <w:tab w:val="left" w:pos="3060"/>
              </w:tabs>
              <w:spacing w:line="320" w:lineRule="exact"/>
              <w:ind w:firstLine="210" w:firstLineChars="100"/>
              <w:rPr>
                <w:rFonts w:hint="eastAsia"/>
                <w:highlight w:val="none"/>
              </w:rPr>
            </w:pPr>
            <w:r>
              <w:rPr>
                <w:rFonts w:hint="eastAsia"/>
                <w:highlight w:val="none"/>
              </w:rPr>
              <w:t>（</w:t>
            </w:r>
            <w:r>
              <w:rPr>
                <w:highlight w:val="none"/>
              </w:rPr>
              <w:t>10</w:t>
            </w:r>
            <w:r>
              <w:rPr>
                <w:rFonts w:hint="eastAsia"/>
                <w:highlight w:val="none"/>
              </w:rPr>
              <w:t>）投标文件载明的招标项目完成期限未超过招标文件规定的时限。</w:t>
            </w:r>
          </w:p>
          <w:p>
            <w:pPr>
              <w:tabs>
                <w:tab w:val="left" w:pos="3060"/>
              </w:tabs>
              <w:spacing w:line="320" w:lineRule="exact"/>
              <w:ind w:firstLine="210" w:firstLineChars="100"/>
              <w:rPr>
                <w:rFonts w:hint="eastAsia"/>
                <w:highlight w:val="none"/>
              </w:rPr>
            </w:pPr>
            <w:r>
              <w:rPr>
                <w:rFonts w:hint="eastAsia"/>
                <w:highlight w:val="none"/>
              </w:rPr>
              <w:t>（</w:t>
            </w:r>
            <w:r>
              <w:rPr>
                <w:highlight w:val="none"/>
              </w:rPr>
              <w:t>11</w:t>
            </w:r>
            <w:r>
              <w:rPr>
                <w:rFonts w:hint="eastAsia"/>
                <w:highlight w:val="none"/>
              </w:rPr>
              <w:t>）投标文件对招标文件的实质性要求和条件作出响应。</w:t>
            </w:r>
          </w:p>
          <w:p>
            <w:pPr>
              <w:tabs>
                <w:tab w:val="left" w:pos="3060"/>
              </w:tabs>
              <w:spacing w:line="320" w:lineRule="exact"/>
              <w:ind w:firstLine="210" w:firstLineChars="100"/>
              <w:rPr>
                <w:rFonts w:hint="eastAsia"/>
                <w:highlight w:val="none"/>
              </w:rPr>
            </w:pPr>
            <w:r>
              <w:rPr>
                <w:rFonts w:hint="eastAsia"/>
                <w:highlight w:val="none"/>
              </w:rPr>
              <w:t>（</w:t>
            </w:r>
            <w:r>
              <w:rPr>
                <w:highlight w:val="none"/>
              </w:rPr>
              <w:t>12</w:t>
            </w:r>
            <w:r>
              <w:rPr>
                <w:rFonts w:hint="eastAsia"/>
                <w:highlight w:val="none"/>
              </w:rPr>
              <w:t>）权利义务符合招标文件规定：</w:t>
            </w:r>
          </w:p>
          <w:p>
            <w:pPr>
              <w:tabs>
                <w:tab w:val="left" w:pos="3060"/>
              </w:tabs>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pacing w:line="320" w:lineRule="exact"/>
              <w:ind w:firstLine="210" w:firstLineChars="100"/>
              <w:rPr>
                <w:rFonts w:hint="eastAsia"/>
                <w:highlight w:val="none"/>
              </w:rPr>
            </w:pPr>
            <w:r>
              <w:rPr>
                <w:rFonts w:hint="eastAsia"/>
                <w:highlight w:val="none"/>
              </w:rPr>
              <w:t>b.投标人未增加发包人的责任范围，或减少投标人义务；</w:t>
            </w:r>
          </w:p>
          <w:p>
            <w:pPr>
              <w:tabs>
                <w:tab w:val="left" w:pos="3060"/>
              </w:tabs>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pacing w:line="320" w:lineRule="exact"/>
              <w:rPr>
                <w:rFonts w:hint="eastAsia"/>
                <w:highlight w:val="none"/>
              </w:rPr>
            </w:pPr>
            <w:r>
              <w:rPr>
                <w:rFonts w:hint="eastAsia"/>
                <w:highlight w:val="none"/>
              </w:rPr>
              <w:t>第二个信封（报价文件）评审标准：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a.投标函按招标文件规定填报了补遗书编号（如有）、投标价（包括大写金额和小写金额）；</w:t>
            </w:r>
          </w:p>
          <w:p>
            <w:pPr>
              <w:snapToGrid w:val="0"/>
              <w:spacing w:line="280" w:lineRule="exact"/>
              <w:ind w:firstLine="420" w:firstLineChars="200"/>
              <w:rPr>
                <w:highlight w:val="none"/>
              </w:rPr>
            </w:pPr>
            <w:r>
              <w:rPr>
                <w:rFonts w:hint="eastAsia"/>
                <w:highlight w:val="none"/>
                <w:lang w:val="en-US" w:eastAsia="zh-CN"/>
              </w:rPr>
              <w:t>b</w:t>
            </w:r>
            <w:r>
              <w:rPr>
                <w:rFonts w:hint="eastAsia"/>
                <w:highlight w:val="none"/>
              </w:rPr>
              <w:t>．投标文件组成齐全完整，内容均按规定填写。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tabs>
                <w:tab w:val="left" w:pos="3060"/>
              </w:tabs>
              <w:spacing w:line="320" w:lineRule="exact"/>
              <w:ind w:firstLine="210" w:firstLineChars="100"/>
              <w:rPr>
                <w:rFonts w:hint="eastAsia"/>
                <w:highlight w:val="none"/>
              </w:rPr>
            </w:pPr>
            <w:r>
              <w:rPr>
                <w:rFonts w:hint="eastAsia"/>
                <w:highlight w:val="none"/>
              </w:rPr>
              <w:t>（3）投标</w:t>
            </w:r>
            <w:r>
              <w:rPr>
                <w:rFonts w:hint="eastAsia"/>
                <w:highlight w:val="none"/>
                <w:lang w:val="en-US" w:eastAsia="zh-CN"/>
              </w:rPr>
              <w:t>函</w:t>
            </w:r>
            <w:r>
              <w:rPr>
                <w:rFonts w:hint="eastAsia"/>
                <w:highlight w:val="none"/>
              </w:rPr>
              <w:t>中的报价未超过招标文件设定的最高投标限价。</w:t>
            </w:r>
          </w:p>
          <w:p>
            <w:pPr>
              <w:tabs>
                <w:tab w:val="left" w:pos="3060"/>
              </w:tabs>
              <w:spacing w:line="320" w:lineRule="exact"/>
              <w:ind w:firstLine="210" w:firstLineChars="100"/>
              <w:rPr>
                <w:rFonts w:hint="eastAsia"/>
                <w:highlight w:val="none"/>
              </w:rPr>
            </w:pPr>
            <w:r>
              <w:rPr>
                <w:rFonts w:hint="eastAsia"/>
                <w:highlight w:val="none"/>
              </w:rPr>
              <w:t>（4）投标</w:t>
            </w:r>
            <w:r>
              <w:rPr>
                <w:rFonts w:hint="eastAsia"/>
                <w:highlight w:val="none"/>
                <w:lang w:val="en-US" w:eastAsia="zh-CN"/>
              </w:rPr>
              <w:t>函</w:t>
            </w:r>
            <w:r>
              <w:rPr>
                <w:rFonts w:hint="eastAsia"/>
                <w:highlight w:val="none"/>
              </w:rPr>
              <w:t>中报价的大写金额能够确定具体数值。</w:t>
            </w:r>
          </w:p>
          <w:p>
            <w:pPr>
              <w:tabs>
                <w:tab w:val="left" w:pos="3060"/>
              </w:tabs>
              <w:spacing w:line="320" w:lineRule="exact"/>
              <w:ind w:firstLine="210" w:firstLineChars="100"/>
              <w:rPr>
                <w:rFonts w:hint="eastAsia"/>
                <w:highlight w:val="none"/>
              </w:rPr>
            </w:pPr>
            <w:r>
              <w:rPr>
                <w:rFonts w:hint="eastAsia"/>
                <w:highlight w:val="none"/>
              </w:rPr>
              <w:t>（5）同一投标人未提交两个以上不同的投标报价。</w:t>
            </w:r>
          </w:p>
          <w:p>
            <w:pPr>
              <w:pStyle w:val="2"/>
              <w:ind w:firstLine="210" w:firstLineChars="100"/>
              <w:rPr>
                <w:rFonts w:hint="eastAsia"/>
                <w:highlight w:val="none"/>
              </w:rPr>
            </w:pPr>
            <w:r>
              <w:rPr>
                <w:rFonts w:hint="eastAsia" w:ascii="宋体" w:hAnsi="宋体" w:eastAsia="宋体" w:cs="宋体"/>
                <w:b w:val="0"/>
                <w:bCs w:val="0"/>
                <w:color w:val="000000"/>
                <w:kern w:val="0"/>
                <w:sz w:val="21"/>
                <w:szCs w:val="21"/>
                <w:highlight w:val="none"/>
                <w:lang w:val="en-US" w:eastAsia="zh-CN" w:bidi="ar"/>
              </w:rPr>
              <w:t>（6）交工验收与缺陷责任期阶段监理服务费报价不低于监理服务总费用的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56" w:hRule="atLeast"/>
          <w:jc w:val="center"/>
        </w:trPr>
        <w:tc>
          <w:tcPr>
            <w:tcW w:w="1143"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2.1.2</w:t>
            </w:r>
          </w:p>
        </w:tc>
        <w:tc>
          <w:tcPr>
            <w:tcW w:w="1317"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资格评审标准</w:t>
            </w:r>
          </w:p>
        </w:tc>
        <w:tc>
          <w:tcPr>
            <w:tcW w:w="7197" w:type="dxa"/>
            <w:noWrap w:val="0"/>
            <w:vAlign w:val="top"/>
          </w:tcPr>
          <w:p>
            <w:pPr>
              <w:tabs>
                <w:tab w:val="left" w:pos="3060"/>
              </w:tabs>
              <w:spacing w:line="320" w:lineRule="exact"/>
              <w:rPr>
                <w:rFonts w:hint="eastAsia"/>
              </w:rPr>
            </w:pPr>
            <w:r>
              <w:rPr>
                <w:rFonts w:hint="eastAsia"/>
              </w:rPr>
              <w:t>（1）投标人具备有效的营业执照、组织机构代码证（三证合一或五证合一的除外）、监理资质证书和基本账户开户许可证（或基本存款账户信息）；</w:t>
            </w:r>
          </w:p>
          <w:p>
            <w:pPr>
              <w:tabs>
                <w:tab w:val="left" w:pos="3060"/>
              </w:tabs>
              <w:spacing w:line="320" w:lineRule="exact"/>
              <w:rPr>
                <w:rFonts w:hint="eastAsia"/>
              </w:rPr>
            </w:pPr>
            <w:r>
              <w:rPr>
                <w:rFonts w:hint="eastAsia"/>
              </w:rPr>
              <w:t>（2）投标人的资质等级符合招标文件规定；</w:t>
            </w:r>
          </w:p>
          <w:p>
            <w:pPr>
              <w:tabs>
                <w:tab w:val="left" w:pos="3060"/>
              </w:tabs>
              <w:spacing w:line="320" w:lineRule="exact"/>
              <w:rPr>
                <w:rFonts w:hint="eastAsia"/>
              </w:rPr>
            </w:pPr>
            <w:r>
              <w:rPr>
                <w:rFonts w:hint="eastAsia"/>
              </w:rPr>
              <w:t>（3）投标人的类似项目业绩符合招标文件规定；</w:t>
            </w:r>
          </w:p>
          <w:p>
            <w:pPr>
              <w:tabs>
                <w:tab w:val="left" w:pos="3060"/>
              </w:tabs>
              <w:spacing w:line="320" w:lineRule="exact"/>
              <w:rPr>
                <w:rFonts w:hint="eastAsia"/>
              </w:rPr>
            </w:pPr>
            <w:r>
              <w:rPr>
                <w:rFonts w:hint="eastAsia"/>
              </w:rPr>
              <w:t>（4）投标人的信誉符合招标文件规定；</w:t>
            </w:r>
          </w:p>
          <w:p>
            <w:pPr>
              <w:tabs>
                <w:tab w:val="left" w:pos="3060"/>
              </w:tabs>
              <w:spacing w:line="320" w:lineRule="exact"/>
              <w:rPr>
                <w:rFonts w:hint="eastAsia"/>
              </w:rPr>
            </w:pPr>
            <w:r>
              <w:rPr>
                <w:rFonts w:hint="eastAsia"/>
              </w:rPr>
              <w:t xml:space="preserve">（5）投标人的总监理工程师资格符合招标文件规定； </w:t>
            </w:r>
          </w:p>
          <w:p>
            <w:pPr>
              <w:tabs>
                <w:tab w:val="left" w:pos="3060"/>
              </w:tabs>
              <w:spacing w:line="320" w:lineRule="exact"/>
              <w:rPr>
                <w:rFonts w:hint="eastAsia"/>
              </w:rPr>
            </w:pPr>
            <w:r>
              <w:rPr>
                <w:rFonts w:hint="eastAsia"/>
              </w:rPr>
              <w:t>（6）投标人不存在第二章“投标人须知”第1.4.3项或第1.4.4项规定的任何一种情形。</w:t>
            </w:r>
          </w:p>
          <w:p>
            <w:pPr>
              <w:pStyle w:val="2"/>
              <w:rPr>
                <w:rFonts w:hint="eastAsia"/>
              </w:rPr>
            </w:pPr>
            <w:r>
              <w:rPr>
                <w:rFonts w:hint="eastAsia" w:ascii="宋体" w:hAnsi="宋体" w:eastAsia="宋体" w:cs="宋体"/>
                <w:sz w:val="21"/>
                <w:szCs w:val="21"/>
                <w:highlight w:val="none"/>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条款号</w:t>
            </w:r>
          </w:p>
        </w:tc>
        <w:tc>
          <w:tcPr>
            <w:tcW w:w="131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条款内容</w:t>
            </w:r>
          </w:p>
        </w:tc>
        <w:tc>
          <w:tcPr>
            <w:tcW w:w="719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highlight w:val="none"/>
              </w:rPr>
            </w:pPr>
            <w:r>
              <w:rPr>
                <w:rFonts w:hint="eastAsia" w:ascii="宋体" w:hAnsi="宋体"/>
                <w:highlight w:val="none"/>
              </w:rPr>
              <w:t>2.2.1</w:t>
            </w:r>
          </w:p>
        </w:tc>
        <w:tc>
          <w:tcPr>
            <w:tcW w:w="1317" w:type="dxa"/>
            <w:noWrap w:val="0"/>
            <w:vAlign w:val="center"/>
          </w:tcPr>
          <w:p>
            <w:pPr>
              <w:adjustRightInd w:val="0"/>
              <w:snapToGrid w:val="0"/>
              <w:jc w:val="center"/>
              <w:rPr>
                <w:rFonts w:ascii="宋体" w:hAnsi="宋体"/>
                <w:highlight w:val="none"/>
              </w:rPr>
            </w:pPr>
            <w:r>
              <w:rPr>
                <w:rFonts w:hint="eastAsia" w:ascii="宋体" w:hAnsi="宋体"/>
                <w:highlight w:val="none"/>
              </w:rPr>
              <w:t>分值构成（总分100分）</w:t>
            </w:r>
          </w:p>
        </w:tc>
        <w:tc>
          <w:tcPr>
            <w:tcW w:w="7197" w:type="dxa"/>
            <w:noWrap w:val="0"/>
            <w:vAlign w:val="center"/>
          </w:tcPr>
          <w:p>
            <w:pPr>
              <w:adjustRightInd w:val="0"/>
              <w:snapToGrid w:val="0"/>
              <w:rPr>
                <w:rFonts w:hint="eastAsia" w:ascii="宋体" w:hAnsi="宋体"/>
                <w:b/>
                <w:highlight w:val="none"/>
              </w:rPr>
            </w:pPr>
            <w:r>
              <w:rPr>
                <w:rFonts w:hint="eastAsia" w:ascii="宋体" w:hAnsi="宋体"/>
                <w:b/>
                <w:highlight w:val="none"/>
              </w:rPr>
              <w:t>第一个信封（商务及技术文件）评分分值构成：</w:t>
            </w:r>
          </w:p>
          <w:p>
            <w:pPr>
              <w:adjustRightInd w:val="0"/>
              <w:snapToGrid w:val="0"/>
              <w:rPr>
                <w:rFonts w:hint="eastAsia" w:ascii="宋体" w:hAnsi="宋体"/>
                <w:highlight w:val="none"/>
              </w:rPr>
            </w:pPr>
            <w:r>
              <w:rPr>
                <w:rFonts w:hint="eastAsia" w:ascii="宋体" w:hAnsi="宋体"/>
                <w:highlight w:val="none"/>
              </w:rPr>
              <w:t>技术建议书：35分</w:t>
            </w:r>
          </w:p>
          <w:p>
            <w:pPr>
              <w:adjustRightInd w:val="0"/>
              <w:snapToGrid w:val="0"/>
              <w:rPr>
                <w:rFonts w:hint="eastAsia" w:ascii="宋体" w:hAnsi="宋体"/>
                <w:highlight w:val="none"/>
              </w:rPr>
            </w:pPr>
            <w:r>
              <w:rPr>
                <w:rFonts w:hint="eastAsia" w:ascii="宋体" w:hAnsi="宋体"/>
                <w:highlight w:val="none"/>
              </w:rPr>
              <w:t>主要人员：25分</w:t>
            </w:r>
          </w:p>
          <w:p>
            <w:pPr>
              <w:adjustRightInd w:val="0"/>
              <w:snapToGrid w:val="0"/>
              <w:rPr>
                <w:rFonts w:hint="eastAsia" w:ascii="宋体" w:hAnsi="宋体"/>
                <w:highlight w:val="none"/>
              </w:rPr>
            </w:pPr>
            <w:r>
              <w:rPr>
                <w:rFonts w:hint="eastAsia" w:ascii="宋体" w:hAnsi="宋体"/>
                <w:highlight w:val="none"/>
              </w:rPr>
              <w:t>业</w:t>
            </w:r>
            <w:r>
              <w:rPr>
                <w:rFonts w:hint="eastAsia" w:ascii="宋体" w:hAnsi="宋体"/>
                <w:highlight w:val="none"/>
                <w:lang w:val="en-US" w:eastAsia="zh-CN"/>
              </w:rPr>
              <w:t xml:space="preserve">    </w:t>
            </w:r>
            <w:r>
              <w:rPr>
                <w:rFonts w:hint="eastAsia" w:ascii="宋体" w:hAnsi="宋体"/>
                <w:highlight w:val="none"/>
              </w:rPr>
              <w:t>绩：25分</w:t>
            </w:r>
          </w:p>
          <w:p>
            <w:pPr>
              <w:adjustRightInd w:val="0"/>
              <w:snapToGrid w:val="0"/>
              <w:rPr>
                <w:rFonts w:hint="eastAsia" w:ascii="宋体" w:hAnsi="宋体"/>
                <w:highlight w:val="none"/>
              </w:rPr>
            </w:pPr>
            <w:r>
              <w:rPr>
                <w:rFonts w:hint="eastAsia" w:ascii="宋体" w:hAnsi="宋体"/>
                <w:highlight w:val="none"/>
              </w:rPr>
              <w:t>履约信誉：5分</w:t>
            </w:r>
          </w:p>
          <w:p>
            <w:pPr>
              <w:adjustRightInd w:val="0"/>
              <w:snapToGrid w:val="0"/>
              <w:rPr>
                <w:rFonts w:hint="eastAsia" w:ascii="宋体" w:hAnsi="宋体"/>
                <w:highlight w:val="none"/>
              </w:rPr>
            </w:pPr>
          </w:p>
          <w:p>
            <w:pPr>
              <w:adjustRightInd w:val="0"/>
              <w:snapToGrid w:val="0"/>
              <w:rPr>
                <w:rFonts w:hint="eastAsia" w:ascii="宋体" w:hAnsi="宋体"/>
                <w:b/>
                <w:highlight w:val="none"/>
              </w:rPr>
            </w:pPr>
            <w:r>
              <w:rPr>
                <w:rFonts w:hint="eastAsia" w:ascii="宋体" w:hAnsi="宋体"/>
                <w:b/>
                <w:highlight w:val="none"/>
              </w:rPr>
              <w:t>第二个信封（报价文件）评分分值构成：</w:t>
            </w:r>
          </w:p>
          <w:p>
            <w:pPr>
              <w:adjustRightInd w:val="0"/>
              <w:snapToGrid w:val="0"/>
              <w:rPr>
                <w:rFonts w:ascii="宋体" w:hAnsi="宋体"/>
                <w:highlight w:val="none"/>
              </w:rPr>
            </w:pPr>
            <w:r>
              <w:rPr>
                <w:rFonts w:hint="eastAsia" w:ascii="宋体" w:hAnsi="宋体"/>
                <w:highlight w:val="none"/>
              </w:rPr>
              <w:t>评</w:t>
            </w:r>
            <w:r>
              <w:rPr>
                <w:rFonts w:hint="eastAsia" w:ascii="宋体" w:hAnsi="宋体"/>
                <w:highlight w:val="none"/>
                <w:lang w:val="en-US" w:eastAsia="zh-CN"/>
              </w:rPr>
              <w:t xml:space="preserve"> </w:t>
            </w:r>
            <w:r>
              <w:rPr>
                <w:rFonts w:hint="eastAsia" w:ascii="宋体" w:hAnsi="宋体"/>
                <w:highlight w:val="none"/>
              </w:rPr>
              <w:t>标</w:t>
            </w:r>
            <w:r>
              <w:rPr>
                <w:rFonts w:hint="eastAsia" w:ascii="宋体" w:hAnsi="宋体"/>
                <w:highlight w:val="none"/>
                <w:lang w:val="en-US" w:eastAsia="zh-CN"/>
              </w:rPr>
              <w:t xml:space="preserve"> </w:t>
            </w:r>
            <w:r>
              <w:rPr>
                <w:rFonts w:hint="eastAsia" w:ascii="宋体" w:hAnsi="宋体"/>
                <w:highlight w:val="none"/>
              </w:rPr>
              <w:t>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2.2.2</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评标基准价计算方法</w:t>
            </w:r>
          </w:p>
        </w:tc>
        <w:tc>
          <w:tcPr>
            <w:tcW w:w="719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评标基准价的计算：</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    开标现场，招标人将当场计算并宣布评标基准价。</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1、评标价的确定：</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评标价=投标函文字报价</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2、评标价平均值的计算：</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3、评标基准价的确定： </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评标价平均值直接作为评标基准价。 </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评标基准价保留小数点后两位，小数点后第三位四舍五入。</w:t>
            </w:r>
          </w:p>
          <w:p>
            <w:pPr>
              <w:adjustRightInd w:val="0"/>
              <w:snapToGrid w:val="0"/>
              <w:spacing w:line="320" w:lineRule="exact"/>
              <w:ind w:firstLine="420" w:firstLineChars="200"/>
              <w:rPr>
                <w:rFonts w:ascii="宋体" w:hAnsi="宋体"/>
                <w:szCs w:val="21"/>
                <w:highlight w:val="none"/>
              </w:rPr>
            </w:pPr>
            <w:r>
              <w:rPr>
                <w:rFonts w:hint="eastAsia" w:ascii="Times New Roman" w:hAnsi="Times New Roman" w:eastAsia="宋体" w:cs="Times New Roman"/>
                <w:color w:val="auto"/>
                <w:kern w:val="2"/>
                <w:sz w:val="21"/>
                <w:szCs w:val="24"/>
                <w:highlight w:val="none"/>
                <w:lang w:val="en-US" w:eastAsia="zh-CN" w:bidi="ar-SA"/>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2.2.3</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评标价的偏差率计算公式</w:t>
            </w:r>
          </w:p>
        </w:tc>
        <w:tc>
          <w:tcPr>
            <w:tcW w:w="7197" w:type="dxa"/>
            <w:noWrap w:val="0"/>
            <w:vAlign w:val="center"/>
          </w:tcPr>
          <w:p>
            <w:pPr>
              <w:adjustRightInd w:val="0"/>
              <w:snapToGrid w:val="0"/>
              <w:spacing w:line="300" w:lineRule="exact"/>
              <w:rPr>
                <w:rFonts w:hint="eastAsia" w:ascii="宋体" w:hAnsi="宋体" w:eastAsia="宋体"/>
                <w:szCs w:val="21"/>
                <w:highlight w:val="none"/>
                <w:lang w:eastAsia="zh-CN"/>
              </w:rPr>
            </w:pPr>
            <w:r>
              <w:rPr>
                <w:rFonts w:hint="eastAsia" w:ascii="宋体" w:hAnsi="宋体"/>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3.6.1</w:t>
            </w:r>
          </w:p>
        </w:tc>
        <w:tc>
          <w:tcPr>
            <w:tcW w:w="1317" w:type="dxa"/>
            <w:noWrap w:val="0"/>
            <w:vAlign w:val="center"/>
          </w:tcPr>
          <w:p>
            <w:pPr>
              <w:adjustRightInd w:val="0"/>
              <w:snapToGrid w:val="0"/>
              <w:spacing w:line="300" w:lineRule="exact"/>
              <w:jc w:val="center"/>
              <w:rPr>
                <w:rFonts w:hint="eastAsia" w:ascii="宋体" w:hAnsi="宋体"/>
                <w:szCs w:val="21"/>
                <w:highlight w:val="none"/>
              </w:rPr>
            </w:pPr>
            <w:r>
              <w:rPr>
                <w:rFonts w:hint="eastAsia" w:ascii="宋体" w:hAnsi="宋体" w:eastAsia="宋体" w:cs="宋体"/>
                <w:sz w:val="21"/>
                <w:szCs w:val="21"/>
                <w:highlight w:val="none"/>
              </w:rPr>
              <w:t>信息查询</w:t>
            </w:r>
          </w:p>
        </w:tc>
        <w:tc>
          <w:tcPr>
            <w:tcW w:w="7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在评标过程中，评标委员会应对以下信息进行查询：</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（1）投标人名称和资质与“全国公路建设市场信用信息管理系统（http://glxy.mot.gov.cn/）”的复核结果一致；</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投标人未提供相关网页截图或相关网页截图中的信息无法证实投标人满足招标文件规定的资格审查条件（资质最低要求）或网页截图与“全国公路建设市场信用信息管理系统（http://glxy.mot.gov.cn）”的核查结果不一致，则相关资质不予认定。</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（2）投标人所附相关</w:t>
            </w:r>
            <w:r>
              <w:rPr>
                <w:rFonts w:hint="eastAsia" w:ascii="宋体" w:hAnsi="宋体" w:eastAsia="宋体" w:cs="宋体"/>
                <w:sz w:val="21"/>
                <w:szCs w:val="21"/>
                <w:highlight w:val="none"/>
                <w:lang w:val="en-US" w:eastAsia="zh-CN"/>
              </w:rPr>
              <w:t>类似项目业绩</w:t>
            </w:r>
            <w:r>
              <w:rPr>
                <w:rFonts w:hint="eastAsia" w:ascii="宋体" w:hAnsi="宋体" w:eastAsia="宋体" w:cs="宋体"/>
                <w:sz w:val="21"/>
                <w:szCs w:val="21"/>
                <w:highlight w:val="none"/>
              </w:rPr>
              <w:t>详细信息网页截图复印件与“全国公路建设市场信用信息管理系统（http://glxy.mot.gov.cn/）”的复核结果一致，并满足招标文件资格审查条件要求；</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（3）所附总监理工程师业绩的网页截图复印件与全国公路建设市场信用信息管理系统（http://glxy.mot.gov.cn/）的复核结果一致，并满足招标文件资格审查条件要求；</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投标人未提供相关网页截图复印件或相关网页截图复印件中的信息无法证实投标人满足招标文件规定的资格审查条件（总监理工程师最低要求）或网页截图与“全国公路建设市场信用信息管理系统（http://glxy.mot.gov.cn）”的核查结果不一致，则相关业绩不予认定。</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被列入严重违法失信企业名单（不含分公司）或在“信用中国”网站“被列入失信被执行人名单、异常经营名录、税收违法</w:t>
            </w:r>
            <w:r>
              <w:rPr>
                <w:rFonts w:hint="eastAsia" w:ascii="宋体" w:hAnsi="宋体" w:eastAsia="宋体" w:cs="宋体"/>
                <w:sz w:val="21"/>
                <w:szCs w:val="21"/>
                <w:highlight w:val="none"/>
                <w:lang w:val="en-US" w:eastAsia="zh-CN"/>
              </w:rPr>
              <w:t>黑</w:t>
            </w:r>
            <w:r>
              <w:rPr>
                <w:rFonts w:hint="eastAsia" w:ascii="宋体" w:hAnsi="宋体" w:eastAsia="宋体" w:cs="宋体"/>
                <w:sz w:val="21"/>
                <w:szCs w:val="21"/>
                <w:highlight w:val="none"/>
              </w:rPr>
              <w:t>名单、政府采购严重违法失信名单”情形的（均不含分公司），评标委员会应否决其投标。</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如投标人未提供相关网页截图或所附截图与核查结果不一致，评标委员会应否决其投标。</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highlight w:val="none"/>
              </w:rPr>
            </w:pPr>
            <w:r>
              <w:rPr>
                <w:rFonts w:hint="eastAsia" w:ascii="宋体" w:hAnsi="宋体" w:eastAsia="宋体" w:cs="宋体"/>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snapToGrid w:val="0"/>
        <w:spacing w:line="360" w:lineRule="auto"/>
        <w:jc w:val="left"/>
        <w:rPr>
          <w:rFonts w:hint="eastAsia"/>
          <w:highlight w:val="none"/>
        </w:rPr>
      </w:pPr>
    </w:p>
    <w:p>
      <w:pPr>
        <w:snapToGrid w:val="0"/>
        <w:spacing w:line="360" w:lineRule="auto"/>
        <w:jc w:val="left"/>
        <w:rPr>
          <w:rFonts w:hint="eastAsia"/>
          <w:highlight w:val="none"/>
        </w:rPr>
      </w:pPr>
      <w:r>
        <w:rPr>
          <w:highlight w:val="none"/>
        </w:rPr>
        <w:br w:type="page"/>
      </w:r>
    </w:p>
    <w:tbl>
      <w:tblPr>
        <w:tblStyle w:val="8"/>
        <w:tblW w:w="9484"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312"/>
        <w:gridCol w:w="290"/>
        <w:gridCol w:w="567"/>
        <w:gridCol w:w="771"/>
        <w:gridCol w:w="789"/>
        <w:gridCol w:w="708"/>
        <w:gridCol w:w="5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0" w:type="dxa"/>
            <w:noWrap w:val="0"/>
            <w:vAlign w:val="center"/>
          </w:tcPr>
          <w:p>
            <w:pPr>
              <w:autoSpaceDE w:val="0"/>
              <w:autoSpaceDN w:val="0"/>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602" w:type="dxa"/>
            <w:gridSpan w:val="2"/>
            <w:noWrap w:val="0"/>
            <w:vAlign w:val="center"/>
          </w:tcPr>
          <w:p>
            <w:pPr>
              <w:autoSpaceDE w:val="0"/>
              <w:autoSpaceDN w:val="0"/>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567" w:type="dxa"/>
            <w:noWrap w:val="0"/>
            <w:vAlign w:val="center"/>
          </w:tcPr>
          <w:p>
            <w:pPr>
              <w:autoSpaceDE w:val="0"/>
              <w:autoSpaceDN w:val="0"/>
              <w:jc w:val="center"/>
              <w:rPr>
                <w:rFonts w:ascii="宋体" w:hAnsi="宋体" w:cs="宋体"/>
                <w:b/>
                <w:kern w:val="0"/>
                <w:szCs w:val="21"/>
                <w:highlight w:val="none"/>
              </w:rPr>
            </w:pPr>
            <w:r>
              <w:rPr>
                <w:rFonts w:hint="eastAsia" w:ascii="宋体" w:hAnsi="宋体" w:cs="宋体"/>
                <w:b/>
                <w:kern w:val="0"/>
                <w:szCs w:val="21"/>
                <w:highlight w:val="none"/>
              </w:rPr>
              <w:t>评分因素权重分值</w:t>
            </w:r>
          </w:p>
        </w:tc>
        <w:tc>
          <w:tcPr>
            <w:tcW w:w="1560" w:type="dxa"/>
            <w:gridSpan w:val="2"/>
            <w:tcBorders>
              <w:right w:val="single" w:color="auto" w:sz="4" w:space="0"/>
            </w:tcBorders>
            <w:noWrap w:val="0"/>
            <w:vAlign w:val="center"/>
          </w:tcPr>
          <w:p>
            <w:pPr>
              <w:autoSpaceDE w:val="0"/>
              <w:autoSpaceDN w:val="0"/>
              <w:jc w:val="center"/>
              <w:rPr>
                <w:rFonts w:ascii="宋体" w:hAnsi="宋体" w:cs="宋体"/>
                <w:b/>
                <w:kern w:val="0"/>
                <w:szCs w:val="21"/>
                <w:highlight w:val="none"/>
              </w:rPr>
            </w:pPr>
            <w:r>
              <w:rPr>
                <w:rFonts w:hint="eastAsia" w:ascii="宋体" w:hAnsi="宋体" w:cs="宋体"/>
                <w:b/>
                <w:kern w:val="0"/>
                <w:szCs w:val="21"/>
                <w:highlight w:val="none"/>
              </w:rPr>
              <w:t>各评分因素细分项</w:t>
            </w:r>
          </w:p>
        </w:tc>
        <w:tc>
          <w:tcPr>
            <w:tcW w:w="708" w:type="dxa"/>
            <w:tcBorders>
              <w:left w:val="single" w:color="auto" w:sz="4" w:space="0"/>
              <w:right w:val="single" w:color="auto" w:sz="4" w:space="0"/>
            </w:tcBorders>
            <w:noWrap w:val="0"/>
            <w:vAlign w:val="center"/>
          </w:tcPr>
          <w:p>
            <w:pPr>
              <w:autoSpaceDE w:val="0"/>
              <w:autoSpaceDN w:val="0"/>
              <w:jc w:val="center"/>
              <w:rPr>
                <w:rFonts w:ascii="宋体" w:hAnsi="宋体" w:cs="宋体"/>
                <w:b/>
                <w:kern w:val="0"/>
                <w:szCs w:val="21"/>
                <w:highlight w:val="none"/>
              </w:rPr>
            </w:pPr>
            <w:r>
              <w:rPr>
                <w:rFonts w:ascii="宋体" w:hAnsi="宋体" w:cs="宋体"/>
                <w:b/>
                <w:kern w:val="0"/>
                <w:szCs w:val="21"/>
                <w:highlight w:val="none"/>
              </w:rPr>
              <w:t>分值</w:t>
            </w:r>
          </w:p>
        </w:tc>
        <w:tc>
          <w:tcPr>
            <w:tcW w:w="5507" w:type="dxa"/>
            <w:tcBorders>
              <w:left w:val="single" w:color="auto" w:sz="4" w:space="0"/>
            </w:tcBorders>
            <w:noWrap w:val="0"/>
            <w:vAlign w:val="center"/>
          </w:tcPr>
          <w:p>
            <w:pPr>
              <w:autoSpaceDE w:val="0"/>
              <w:autoSpaceDN w:val="0"/>
              <w:jc w:val="center"/>
              <w:rPr>
                <w:rFonts w:ascii="宋体" w:hAnsi="宋体" w:cs="宋体"/>
                <w:b/>
                <w:kern w:val="0"/>
                <w:szCs w:val="21"/>
                <w:highlight w:val="none"/>
              </w:rPr>
            </w:pPr>
            <w:r>
              <w:rPr>
                <w:rFonts w:ascii="宋体" w:hAnsi="宋体" w:cs="宋体"/>
                <w:b/>
                <w:kern w:val="0"/>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restart"/>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2.2.4（1）</w:t>
            </w:r>
          </w:p>
        </w:tc>
        <w:tc>
          <w:tcPr>
            <w:tcW w:w="602" w:type="dxa"/>
            <w:gridSpan w:val="2"/>
            <w:vMerge w:val="restart"/>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技术建议书</w:t>
            </w:r>
          </w:p>
        </w:tc>
        <w:tc>
          <w:tcPr>
            <w:tcW w:w="567" w:type="dxa"/>
            <w:vMerge w:val="restart"/>
            <w:noWrap w:val="0"/>
            <w:vAlign w:val="center"/>
          </w:tcPr>
          <w:p>
            <w:pPr>
              <w:autoSpaceDE w:val="0"/>
              <w:autoSpaceDN w:val="0"/>
              <w:jc w:val="center"/>
              <w:rPr>
                <w:rFonts w:ascii="宋体" w:hAnsi="宋体" w:cs="宋体"/>
                <w:kern w:val="0"/>
                <w:szCs w:val="21"/>
                <w:highlight w:val="none"/>
              </w:rPr>
            </w:pPr>
            <w:r>
              <w:rPr>
                <w:rFonts w:hint="eastAsia" w:ascii="宋体" w:hAnsi="宋体" w:cs="宋体"/>
                <w:kern w:val="0"/>
                <w:szCs w:val="21"/>
                <w:highlight w:val="none"/>
              </w:rPr>
              <w:t>35分</w:t>
            </w:r>
          </w:p>
        </w:tc>
        <w:tc>
          <w:tcPr>
            <w:tcW w:w="771" w:type="dxa"/>
            <w:vMerge w:val="restart"/>
            <w:tcBorders>
              <w:righ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spacing w:val="-10"/>
                <w:szCs w:val="21"/>
                <w:highlight w:val="none"/>
              </w:rPr>
              <w:t>监理大纲和措施（15分）</w:t>
            </w:r>
          </w:p>
        </w:tc>
        <w:tc>
          <w:tcPr>
            <w:tcW w:w="789" w:type="dxa"/>
            <w:vMerge w:val="restart"/>
            <w:tcBorders>
              <w:left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szCs w:val="21"/>
                <w:highlight w:val="none"/>
              </w:rPr>
              <w:t>对本项目监理工作范围和任务理解</w:t>
            </w:r>
          </w:p>
        </w:tc>
        <w:tc>
          <w:tcPr>
            <w:tcW w:w="708" w:type="dxa"/>
            <w:vMerge w:val="restart"/>
            <w:tcBorders>
              <w:left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bCs/>
                <w:iCs/>
                <w:szCs w:val="21"/>
                <w:highlight w:val="none"/>
              </w:rPr>
              <w:t>5分</w:t>
            </w:r>
          </w:p>
        </w:tc>
        <w:tc>
          <w:tcPr>
            <w:tcW w:w="5507" w:type="dxa"/>
            <w:tcBorders>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理解基本准确，得</w:t>
            </w:r>
            <w:r>
              <w:rPr>
                <w:rFonts w:hint="eastAsia" w:ascii="宋体" w:hAnsi="宋体"/>
                <w:bCs/>
                <w:iCs/>
                <w:szCs w:val="21"/>
                <w:highlight w:val="none"/>
              </w:rPr>
              <w:t>3分</w:t>
            </w:r>
            <w:r>
              <w:rPr>
                <w:rFonts w:hint="eastAsia" w:ascii="宋体" w:hAnsi="宋体"/>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771" w:type="dxa"/>
            <w:vMerge w:val="continue"/>
            <w:tcBorders>
              <w:right w:val="single" w:color="auto" w:sz="4" w:space="0"/>
            </w:tcBorders>
            <w:noWrap w:val="0"/>
            <w:vAlign w:val="center"/>
          </w:tcPr>
          <w:p>
            <w:pPr>
              <w:pStyle w:val="5"/>
              <w:jc w:val="left"/>
              <w:rPr>
                <w:rFonts w:hAnsi="宋体"/>
                <w:highlight w:val="none"/>
                <w:lang w:val="en-US" w:eastAsia="zh-CN"/>
              </w:rPr>
            </w:pPr>
          </w:p>
        </w:tc>
        <w:tc>
          <w:tcPr>
            <w:tcW w:w="789" w:type="dxa"/>
            <w:vMerge w:val="continue"/>
            <w:tcBorders>
              <w:left w:val="single" w:color="auto" w:sz="4" w:space="0"/>
              <w:right w:val="single" w:color="auto" w:sz="4" w:space="0"/>
            </w:tcBorders>
            <w:noWrap w:val="0"/>
            <w:vAlign w:val="center"/>
          </w:tcPr>
          <w:p>
            <w:pPr>
              <w:pStyle w:val="5"/>
              <w:jc w:val="left"/>
              <w:rPr>
                <w:rFonts w:hAnsi="宋体"/>
                <w:highlight w:val="none"/>
                <w:lang w:val="en-US" w:eastAsia="zh-CN"/>
              </w:rPr>
            </w:pPr>
          </w:p>
        </w:tc>
        <w:tc>
          <w:tcPr>
            <w:tcW w:w="708" w:type="dxa"/>
            <w:vMerge w:val="continue"/>
            <w:tcBorders>
              <w:left w:val="single" w:color="auto" w:sz="4" w:space="0"/>
              <w:right w:val="single" w:color="auto" w:sz="4" w:space="0"/>
            </w:tcBorders>
            <w:noWrap w:val="0"/>
            <w:vAlign w:val="center"/>
          </w:tcPr>
          <w:p>
            <w:pPr>
              <w:pStyle w:val="5"/>
              <w:rPr>
                <w:rFonts w:hAnsi="宋体" w:cs="宋体"/>
                <w:kern w:val="0"/>
                <w:highlight w:val="none"/>
                <w:lang w:val="en-US" w:eastAsia="zh-CN"/>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理解较准确，思路较清晰，得</w:t>
            </w:r>
            <w:r>
              <w:rPr>
                <w:rFonts w:hint="eastAsia" w:ascii="宋体" w:hAnsi="宋体"/>
                <w:bCs/>
                <w:iCs/>
                <w:szCs w:val="21"/>
                <w:highlight w:val="none"/>
              </w:rPr>
              <w:t>3－4分</w:t>
            </w:r>
            <w:r>
              <w:rPr>
                <w:rFonts w:hint="eastAsia" w:ascii="宋体" w:hAnsi="宋体"/>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771" w:type="dxa"/>
            <w:vMerge w:val="continue"/>
            <w:tcBorders>
              <w:right w:val="single" w:color="auto" w:sz="4" w:space="0"/>
            </w:tcBorders>
            <w:noWrap w:val="0"/>
            <w:vAlign w:val="center"/>
          </w:tcPr>
          <w:p>
            <w:pPr>
              <w:pStyle w:val="5"/>
              <w:jc w:val="left"/>
              <w:rPr>
                <w:rFonts w:hAnsi="宋体"/>
                <w:highlight w:val="none"/>
                <w:lang w:val="en-US" w:eastAsia="zh-CN"/>
              </w:rPr>
            </w:pPr>
          </w:p>
        </w:tc>
        <w:tc>
          <w:tcPr>
            <w:tcW w:w="789" w:type="dxa"/>
            <w:vMerge w:val="continue"/>
            <w:tcBorders>
              <w:left w:val="single" w:color="auto" w:sz="4" w:space="0"/>
              <w:bottom w:val="single" w:color="auto" w:sz="4" w:space="0"/>
              <w:right w:val="single" w:color="auto" w:sz="4" w:space="0"/>
            </w:tcBorders>
            <w:noWrap w:val="0"/>
            <w:vAlign w:val="center"/>
          </w:tcPr>
          <w:p>
            <w:pPr>
              <w:pStyle w:val="5"/>
              <w:jc w:val="left"/>
              <w:rPr>
                <w:rFonts w:hAnsi="宋体"/>
                <w:highlight w:val="none"/>
                <w:lang w:val="en-US" w:eastAsia="zh-CN"/>
              </w:rPr>
            </w:pPr>
          </w:p>
        </w:tc>
        <w:tc>
          <w:tcPr>
            <w:tcW w:w="708" w:type="dxa"/>
            <w:vMerge w:val="continue"/>
            <w:tcBorders>
              <w:left w:val="single" w:color="auto" w:sz="4" w:space="0"/>
              <w:bottom w:val="single" w:color="auto" w:sz="4" w:space="0"/>
              <w:right w:val="single" w:color="auto" w:sz="4" w:space="0"/>
            </w:tcBorders>
            <w:noWrap w:val="0"/>
            <w:vAlign w:val="center"/>
          </w:tcPr>
          <w:p>
            <w:pPr>
              <w:pStyle w:val="5"/>
              <w:rPr>
                <w:rFonts w:hAnsi="宋体" w:cs="宋体"/>
                <w:kern w:val="0"/>
                <w:highlight w:val="none"/>
                <w:lang w:val="en-US" w:eastAsia="zh-CN"/>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理解准确，思路清晰，全面、合理，符合项目要求，得</w:t>
            </w:r>
            <w:r>
              <w:rPr>
                <w:rFonts w:hint="eastAsia" w:ascii="宋体" w:hAnsi="宋体"/>
                <w:bCs/>
                <w:iCs/>
                <w:szCs w:val="21"/>
                <w:highlight w:val="none"/>
              </w:rPr>
              <w:t>4－5</w:t>
            </w:r>
            <w:r>
              <w:rPr>
                <w:rFonts w:hint="eastAsia" w:ascii="宋体" w:hAnsi="宋体"/>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771" w:type="dxa"/>
            <w:vMerge w:val="continue"/>
            <w:tcBorders>
              <w:right w:val="single" w:color="auto" w:sz="4" w:space="0"/>
            </w:tcBorders>
            <w:noWrap w:val="0"/>
            <w:vAlign w:val="center"/>
          </w:tcPr>
          <w:p>
            <w:pPr>
              <w:pStyle w:val="5"/>
              <w:jc w:val="left"/>
              <w:rPr>
                <w:rFonts w:hAnsi="宋体"/>
                <w:highlight w:val="none"/>
                <w:lang w:val="en-US" w:eastAsia="zh-CN"/>
              </w:rPr>
            </w:pPr>
          </w:p>
        </w:tc>
        <w:tc>
          <w:tcPr>
            <w:tcW w:w="789" w:type="dxa"/>
            <w:vMerge w:val="restart"/>
            <w:tcBorders>
              <w:top w:val="single" w:color="auto" w:sz="4" w:space="0"/>
              <w:left w:val="single" w:color="auto" w:sz="4" w:space="0"/>
              <w:right w:val="single" w:color="auto" w:sz="4" w:space="0"/>
            </w:tcBorders>
            <w:noWrap w:val="0"/>
            <w:vAlign w:val="center"/>
          </w:tcPr>
          <w:p>
            <w:pPr>
              <w:pStyle w:val="5"/>
              <w:jc w:val="left"/>
              <w:rPr>
                <w:rFonts w:hAnsi="宋体"/>
                <w:bCs/>
                <w:iCs/>
                <w:highlight w:val="none"/>
                <w:lang w:val="en-US" w:eastAsia="zh-CN"/>
              </w:rPr>
            </w:pPr>
            <w:r>
              <w:rPr>
                <w:rFonts w:hAnsi="宋体"/>
                <w:highlight w:val="none"/>
                <w:lang w:val="en-US" w:eastAsia="zh-CN"/>
              </w:rPr>
              <w:t>监理工作程序</w:t>
            </w:r>
          </w:p>
        </w:tc>
        <w:tc>
          <w:tcPr>
            <w:tcW w:w="708" w:type="dxa"/>
            <w:vMerge w:val="restart"/>
            <w:tcBorders>
              <w:top w:val="single" w:color="auto" w:sz="4" w:space="0"/>
              <w:left w:val="single" w:color="auto" w:sz="4" w:space="0"/>
              <w:right w:val="single" w:color="auto" w:sz="4" w:space="0"/>
            </w:tcBorders>
            <w:noWrap w:val="0"/>
            <w:vAlign w:val="center"/>
          </w:tcPr>
          <w:p>
            <w:pPr>
              <w:pStyle w:val="5"/>
              <w:jc w:val="center"/>
              <w:rPr>
                <w:rFonts w:hAnsi="宋体" w:cs="宋体"/>
                <w:bCs/>
                <w:iCs/>
                <w:kern w:val="0"/>
                <w:highlight w:val="none"/>
                <w:lang w:val="en-US" w:eastAsia="zh-CN"/>
              </w:rPr>
            </w:pPr>
            <w:r>
              <w:rPr>
                <w:rFonts w:hint="eastAsia" w:hAnsi="宋体"/>
                <w:bCs/>
                <w:iCs/>
                <w:highlight w:val="none"/>
                <w:lang w:val="en-US" w:eastAsia="zh-CN"/>
              </w:rPr>
              <w:t>10分</w:t>
            </w: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内容基本齐全，阶段划分基本合理，可实施性一般，得</w:t>
            </w:r>
            <w:r>
              <w:rPr>
                <w:rFonts w:hint="eastAsia" w:ascii="宋体" w:hAnsi="宋体"/>
                <w:bCs/>
                <w:iCs/>
                <w:szCs w:val="21"/>
                <w:highlight w:val="none"/>
              </w:rPr>
              <w:t>6分</w:t>
            </w:r>
            <w:r>
              <w:rPr>
                <w:rFonts w:hint="eastAsia" w:ascii="宋体" w:hAnsi="宋体"/>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771" w:type="dxa"/>
            <w:vMerge w:val="continue"/>
            <w:tcBorders>
              <w:right w:val="single" w:color="auto" w:sz="4" w:space="0"/>
            </w:tcBorders>
            <w:noWrap w:val="0"/>
            <w:vAlign w:val="center"/>
          </w:tcPr>
          <w:p>
            <w:pPr>
              <w:pStyle w:val="5"/>
              <w:jc w:val="left"/>
              <w:rPr>
                <w:rFonts w:hAnsi="宋体"/>
                <w:highlight w:val="none"/>
                <w:lang w:val="en-US" w:eastAsia="zh-CN"/>
              </w:rPr>
            </w:pPr>
          </w:p>
        </w:tc>
        <w:tc>
          <w:tcPr>
            <w:tcW w:w="789" w:type="dxa"/>
            <w:vMerge w:val="continue"/>
            <w:tcBorders>
              <w:left w:val="single" w:color="auto" w:sz="4" w:space="0"/>
              <w:right w:val="single" w:color="auto" w:sz="4" w:space="0"/>
            </w:tcBorders>
            <w:noWrap w:val="0"/>
            <w:vAlign w:val="center"/>
          </w:tcPr>
          <w:p>
            <w:pPr>
              <w:pStyle w:val="5"/>
              <w:jc w:val="left"/>
              <w:rPr>
                <w:rFonts w:hAnsi="宋体"/>
                <w:highlight w:val="none"/>
                <w:lang w:val="en-US" w:eastAsia="zh-CN"/>
              </w:rPr>
            </w:pPr>
          </w:p>
        </w:tc>
        <w:tc>
          <w:tcPr>
            <w:tcW w:w="708" w:type="dxa"/>
            <w:vMerge w:val="continue"/>
            <w:tcBorders>
              <w:left w:val="single" w:color="auto" w:sz="4" w:space="0"/>
              <w:right w:val="single" w:color="auto" w:sz="4" w:space="0"/>
            </w:tcBorders>
            <w:noWrap w:val="0"/>
            <w:vAlign w:val="center"/>
          </w:tcPr>
          <w:p>
            <w:pPr>
              <w:pStyle w:val="5"/>
              <w:rPr>
                <w:rFonts w:hAnsi="宋体" w:cs="宋体"/>
                <w:kern w:val="0"/>
                <w:highlight w:val="none"/>
                <w:lang w:val="en-US" w:eastAsia="zh-CN"/>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内容较齐全，阶段划分较合理，可实施性较好，得</w:t>
            </w:r>
            <w:r>
              <w:rPr>
                <w:rFonts w:hint="eastAsia" w:ascii="宋体" w:hAnsi="宋体"/>
                <w:bCs/>
                <w:iCs/>
                <w:szCs w:val="21"/>
                <w:highlight w:val="none"/>
              </w:rPr>
              <w:t>6－8分</w:t>
            </w:r>
            <w:r>
              <w:rPr>
                <w:rFonts w:hint="eastAsia" w:ascii="宋体" w:hAnsi="宋体"/>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771" w:type="dxa"/>
            <w:vMerge w:val="continue"/>
            <w:tcBorders>
              <w:bottom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789" w:type="dxa"/>
            <w:vMerge w:val="continue"/>
            <w:tcBorders>
              <w:left w:val="single" w:color="auto" w:sz="4" w:space="0"/>
              <w:bottom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708" w:type="dxa"/>
            <w:vMerge w:val="continue"/>
            <w:tcBorders>
              <w:left w:val="single" w:color="auto" w:sz="4" w:space="0"/>
              <w:bottom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内容齐全，阶段划分合理、正确，可实施性强，得</w:t>
            </w:r>
            <w:r>
              <w:rPr>
                <w:rFonts w:hint="eastAsia" w:ascii="宋体" w:hAnsi="宋体"/>
                <w:bCs/>
                <w:iCs/>
                <w:szCs w:val="21"/>
                <w:highlight w:val="none"/>
              </w:rPr>
              <w:t>8－10</w:t>
            </w:r>
            <w:r>
              <w:rPr>
                <w:rFonts w:hint="eastAsia" w:ascii="宋体" w:hAnsi="宋体"/>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1560" w:type="dxa"/>
            <w:gridSpan w:val="2"/>
            <w:vMerge w:val="restart"/>
            <w:tcBorders>
              <w:top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cs="宋体"/>
                <w:kern w:val="0"/>
                <w:szCs w:val="21"/>
                <w:highlight w:val="none"/>
              </w:rPr>
              <w:t>本工程监理工作的</w:t>
            </w:r>
            <w:r>
              <w:rPr>
                <w:rFonts w:ascii="宋体" w:hAnsi="宋体"/>
                <w:spacing w:val="-12"/>
                <w:szCs w:val="21"/>
                <w:highlight w:val="none"/>
              </w:rPr>
              <w:t>重点与难点分析</w:t>
            </w:r>
          </w:p>
        </w:tc>
        <w:tc>
          <w:tcPr>
            <w:tcW w:w="708" w:type="dxa"/>
            <w:vMerge w:val="restart"/>
            <w:tcBorders>
              <w:top w:val="single" w:color="auto" w:sz="4" w:space="0"/>
              <w:left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spacing w:val="-12"/>
                <w:szCs w:val="21"/>
                <w:highlight w:val="none"/>
              </w:rPr>
              <w:t>10分</w:t>
            </w: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分析一般，对难点、重点把握一般；处理措施基本合理，基本可行，得6分；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1560" w:type="dxa"/>
            <w:gridSpan w:val="2"/>
            <w:vMerge w:val="continue"/>
            <w:tcBorders>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708" w:type="dxa"/>
            <w:vMerge w:val="continue"/>
            <w:tcBorders>
              <w:left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分析较透彻，对难点、重点把握较准确；处理措施合理，可行，得6－8分；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1560" w:type="dxa"/>
            <w:gridSpan w:val="2"/>
            <w:vMerge w:val="continue"/>
            <w:tcBorders>
              <w:bottom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708" w:type="dxa"/>
            <w:vMerge w:val="continue"/>
            <w:tcBorders>
              <w:left w:val="single" w:color="auto" w:sz="4" w:space="0"/>
              <w:bottom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分析透彻，对难点、重点把握准确；处理措施科学合理，有效可行，得8－10分；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1560" w:type="dxa"/>
            <w:gridSpan w:val="2"/>
            <w:vMerge w:val="restart"/>
            <w:tcBorders>
              <w:top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cs="宋体"/>
                <w:kern w:val="0"/>
                <w:szCs w:val="21"/>
                <w:highlight w:val="none"/>
              </w:rPr>
              <w:t>对本工程的建议</w:t>
            </w:r>
          </w:p>
        </w:tc>
        <w:tc>
          <w:tcPr>
            <w:tcW w:w="708" w:type="dxa"/>
            <w:vMerge w:val="restart"/>
            <w:tcBorders>
              <w:top w:val="single" w:color="auto" w:sz="4" w:space="0"/>
              <w:left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szCs w:val="21"/>
                <w:highlight w:val="none"/>
              </w:rPr>
              <w:t>10分</w:t>
            </w: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建议措施基本全面、合理，可实施性一般，得6分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1560" w:type="dxa"/>
            <w:gridSpan w:val="2"/>
            <w:vMerge w:val="continue"/>
            <w:tcBorders>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708" w:type="dxa"/>
            <w:vMerge w:val="continue"/>
            <w:tcBorders>
              <w:left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建议措施全面、合理，可实施性较好，得6－8分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1"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rPr>
                <w:rFonts w:ascii="宋体" w:hAnsi="宋体" w:cs="宋体"/>
                <w:kern w:val="0"/>
                <w:szCs w:val="21"/>
                <w:highlight w:val="none"/>
              </w:rPr>
            </w:pPr>
          </w:p>
        </w:tc>
        <w:tc>
          <w:tcPr>
            <w:tcW w:w="1560" w:type="dxa"/>
            <w:gridSpan w:val="2"/>
            <w:vMerge w:val="continue"/>
            <w:tcBorders>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708" w:type="dxa"/>
            <w:vMerge w:val="continue"/>
            <w:tcBorders>
              <w:left w:val="single" w:color="auto" w:sz="4" w:space="0"/>
              <w:right w:val="single" w:color="auto" w:sz="4" w:space="0"/>
            </w:tcBorders>
            <w:noWrap w:val="0"/>
            <w:vAlign w:val="center"/>
          </w:tcPr>
          <w:p>
            <w:pPr>
              <w:autoSpaceDE w:val="0"/>
              <w:autoSpaceDN w:val="0"/>
              <w:jc w:val="center"/>
              <w:rPr>
                <w:rFonts w:ascii="宋体" w:hAnsi="宋体" w:cs="宋体"/>
                <w:kern w:val="0"/>
                <w:szCs w:val="21"/>
                <w:highlight w:val="none"/>
              </w:rPr>
            </w:pPr>
          </w:p>
        </w:tc>
        <w:tc>
          <w:tcPr>
            <w:tcW w:w="5507" w:type="dxa"/>
            <w:tcBorders>
              <w:top w:val="single" w:color="auto" w:sz="4" w:space="0"/>
              <w:left w:val="single" w:color="auto" w:sz="4" w:space="0"/>
            </w:tcBorders>
            <w:noWrap w:val="0"/>
            <w:vAlign w:val="center"/>
          </w:tcPr>
          <w:p>
            <w:pPr>
              <w:adjustRightInd w:val="0"/>
              <w:snapToGrid w:val="0"/>
              <w:spacing w:line="360" w:lineRule="exact"/>
              <w:rPr>
                <w:rFonts w:ascii="宋体" w:hAnsi="宋体"/>
                <w:szCs w:val="21"/>
                <w:highlight w:val="none"/>
              </w:rPr>
            </w:pPr>
            <w:r>
              <w:rPr>
                <w:rFonts w:hint="eastAsia" w:ascii="宋体" w:hAnsi="宋体"/>
                <w:szCs w:val="21"/>
                <w:highlight w:val="none"/>
              </w:rPr>
              <w:t>建议措施具体全面、可靠、合理，可实施性强，得8－10分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540" w:type="dxa"/>
            <w:vMerge w:val="restart"/>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2.2.4（2）</w:t>
            </w:r>
          </w:p>
        </w:tc>
        <w:tc>
          <w:tcPr>
            <w:tcW w:w="602" w:type="dxa"/>
            <w:gridSpan w:val="2"/>
            <w:vMerge w:val="restart"/>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主要人员</w:t>
            </w:r>
          </w:p>
        </w:tc>
        <w:tc>
          <w:tcPr>
            <w:tcW w:w="567" w:type="dxa"/>
            <w:vMerge w:val="restart"/>
            <w:noWrap w:val="0"/>
            <w:vAlign w:val="center"/>
          </w:tcPr>
          <w:p>
            <w:pPr>
              <w:autoSpaceDE w:val="0"/>
              <w:autoSpaceDN w:val="0"/>
              <w:jc w:val="center"/>
              <w:rPr>
                <w:rFonts w:ascii="宋体" w:hAnsi="宋体" w:cs="宋体"/>
                <w:kern w:val="0"/>
                <w:szCs w:val="21"/>
                <w:highlight w:val="none"/>
              </w:rPr>
            </w:pPr>
          </w:p>
          <w:p>
            <w:pPr>
              <w:autoSpaceDE w:val="0"/>
              <w:autoSpaceDN w:val="0"/>
              <w:jc w:val="center"/>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5分</w:t>
            </w:r>
          </w:p>
          <w:p>
            <w:pPr>
              <w:autoSpaceDE w:val="0"/>
              <w:autoSpaceDN w:val="0"/>
              <w:jc w:val="center"/>
              <w:rPr>
                <w:rFonts w:ascii="宋体" w:hAnsi="宋体" w:cs="宋体"/>
                <w:kern w:val="0"/>
                <w:szCs w:val="21"/>
                <w:highlight w:val="none"/>
              </w:rPr>
            </w:pPr>
          </w:p>
        </w:tc>
        <w:tc>
          <w:tcPr>
            <w:tcW w:w="1560" w:type="dxa"/>
            <w:gridSpan w:val="2"/>
            <w:vMerge w:val="restart"/>
            <w:tcBorders>
              <w:top w:val="single" w:color="auto" w:sz="4" w:space="0"/>
              <w:right w:val="single" w:color="auto" w:sz="4" w:space="0"/>
            </w:tcBorders>
            <w:noWrap w:val="0"/>
            <w:vAlign w:val="center"/>
          </w:tcPr>
          <w:p>
            <w:pPr>
              <w:autoSpaceDE w:val="0"/>
              <w:autoSpaceDN w:val="0"/>
              <w:jc w:val="center"/>
              <w:rPr>
                <w:rFonts w:hint="eastAsia"/>
                <w:sz w:val="20"/>
                <w:szCs w:val="20"/>
                <w:highlight w:val="none"/>
              </w:rPr>
            </w:pPr>
            <w:bookmarkStart w:id="13" w:name="_Toc233111454"/>
            <w:r>
              <w:rPr>
                <w:rFonts w:hint="eastAsia"/>
                <w:sz w:val="20"/>
                <w:szCs w:val="20"/>
                <w:highlight w:val="none"/>
              </w:rPr>
              <w:t>总监理工程师任职资格与业绩</w:t>
            </w:r>
            <w:bookmarkEnd w:id="13"/>
          </w:p>
          <w:p>
            <w:pPr>
              <w:autoSpaceDE w:val="0"/>
              <w:autoSpaceDN w:val="0"/>
              <w:rPr>
                <w:rFonts w:ascii="宋体" w:hAnsi="宋体" w:cs="宋体"/>
                <w:kern w:val="0"/>
                <w:szCs w:val="21"/>
                <w:highlight w:val="none"/>
              </w:rPr>
            </w:pPr>
          </w:p>
        </w:tc>
        <w:tc>
          <w:tcPr>
            <w:tcW w:w="708" w:type="dxa"/>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25分</w:t>
            </w:r>
          </w:p>
        </w:tc>
        <w:tc>
          <w:tcPr>
            <w:tcW w:w="5507" w:type="dxa"/>
            <w:tcBorders>
              <w:top w:val="single" w:color="auto" w:sz="4" w:space="0"/>
              <w:left w:val="single" w:color="auto" w:sz="4" w:space="0"/>
              <w:bottom w:val="single" w:color="auto" w:sz="4" w:space="0"/>
            </w:tcBorders>
            <w:noWrap w:val="0"/>
            <w:vAlign w:val="center"/>
          </w:tcPr>
          <w:p>
            <w:pPr>
              <w:rPr>
                <w:rFonts w:ascii="宋体" w:hAnsi="宋体"/>
                <w:szCs w:val="21"/>
                <w:highlight w:val="none"/>
              </w:rPr>
            </w:pPr>
            <w:r>
              <w:rPr>
                <w:rFonts w:hint="eastAsia" w:ascii="宋体" w:hAnsi="宋体" w:eastAsia="宋体" w:cs="Times New Roman"/>
                <w:kern w:val="2"/>
                <w:sz w:val="21"/>
                <w:szCs w:val="21"/>
                <w:highlight w:val="none"/>
                <w:lang w:val="en-US" w:eastAsia="zh-CN" w:bidi="ar-SA"/>
              </w:rPr>
              <w:t>满足附录4资格审查条件(总监理工程师最低要求)</w:t>
            </w:r>
            <w:r>
              <w:rPr>
                <w:rFonts w:hint="eastAsia" w:ascii="宋体" w:hAnsi="宋体"/>
                <w:szCs w:val="21"/>
                <w:highlight w:val="none"/>
              </w:rPr>
              <w:t>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4"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602" w:type="dxa"/>
            <w:gridSpan w:val="2"/>
            <w:vMerge w:val="continue"/>
            <w:noWrap w:val="0"/>
            <w:vAlign w:val="center"/>
          </w:tcPr>
          <w:p>
            <w:pPr>
              <w:autoSpaceDE w:val="0"/>
              <w:autoSpaceDN w:val="0"/>
              <w:rPr>
                <w:rFonts w:ascii="宋体" w:hAnsi="宋体" w:cs="宋体"/>
                <w:kern w:val="0"/>
                <w:szCs w:val="21"/>
                <w:highlight w:val="none"/>
              </w:rPr>
            </w:pPr>
          </w:p>
        </w:tc>
        <w:tc>
          <w:tcPr>
            <w:tcW w:w="567" w:type="dxa"/>
            <w:vMerge w:val="continue"/>
            <w:noWrap w:val="0"/>
            <w:vAlign w:val="center"/>
          </w:tcPr>
          <w:p>
            <w:pPr>
              <w:autoSpaceDE w:val="0"/>
              <w:autoSpaceDN w:val="0"/>
              <w:jc w:val="center"/>
              <w:rPr>
                <w:rFonts w:ascii="宋体" w:hAnsi="宋体" w:cs="宋体"/>
                <w:kern w:val="0"/>
                <w:szCs w:val="21"/>
                <w:highlight w:val="none"/>
              </w:rPr>
            </w:pPr>
          </w:p>
        </w:tc>
        <w:tc>
          <w:tcPr>
            <w:tcW w:w="1560" w:type="dxa"/>
            <w:gridSpan w:val="2"/>
            <w:vMerge w:val="continue"/>
            <w:tcBorders>
              <w:right w:val="single" w:color="auto" w:sz="4" w:space="0"/>
            </w:tcBorders>
            <w:noWrap w:val="0"/>
            <w:vAlign w:val="center"/>
          </w:tcPr>
          <w:p>
            <w:pPr>
              <w:autoSpaceDE w:val="0"/>
              <w:autoSpaceDN w:val="0"/>
              <w:rPr>
                <w:rFonts w:hint="eastAsia" w:ascii="宋体" w:hAnsi="宋体"/>
                <w:szCs w:val="21"/>
                <w:highlight w:val="none"/>
              </w:rPr>
            </w:pPr>
          </w:p>
        </w:tc>
        <w:tc>
          <w:tcPr>
            <w:tcW w:w="708" w:type="dxa"/>
            <w:vMerge w:val="continue"/>
            <w:tcBorders>
              <w:left w:val="single" w:color="auto" w:sz="4" w:space="0"/>
              <w:right w:val="single" w:color="auto" w:sz="4" w:space="0"/>
            </w:tcBorders>
            <w:noWrap w:val="0"/>
            <w:vAlign w:val="center"/>
          </w:tcPr>
          <w:p>
            <w:pPr>
              <w:pStyle w:val="5"/>
              <w:jc w:val="center"/>
              <w:rPr>
                <w:rFonts w:hint="eastAsia" w:hAnsi="宋体"/>
                <w:highlight w:val="none"/>
                <w:lang w:val="en-US" w:eastAsia="zh-CN"/>
              </w:rPr>
            </w:pPr>
          </w:p>
        </w:tc>
        <w:tc>
          <w:tcPr>
            <w:tcW w:w="5507" w:type="dxa"/>
            <w:tcBorders>
              <w:top w:val="single" w:color="auto" w:sz="4" w:space="0"/>
              <w:left w:val="single" w:color="auto" w:sz="4" w:space="0"/>
            </w:tcBorders>
            <w:noWrap w:val="0"/>
            <w:vAlign w:val="center"/>
          </w:tcPr>
          <w:p>
            <w:pPr>
              <w:pStyle w:val="5"/>
              <w:rPr>
                <w:rFonts w:hint="eastAsia" w:hAnsi="宋体"/>
                <w:highlight w:val="none"/>
                <w:lang w:val="en-US" w:eastAsia="zh-CN"/>
              </w:rPr>
            </w:pPr>
            <w:r>
              <w:rPr>
                <w:rFonts w:hint="eastAsia" w:ascii="宋体" w:hAnsi="宋体" w:eastAsia="宋体" w:cs="Times New Roman"/>
                <w:kern w:val="2"/>
                <w:sz w:val="21"/>
                <w:szCs w:val="21"/>
                <w:highlight w:val="none"/>
                <w:lang w:val="en-US" w:eastAsia="zh-CN" w:bidi="ar-SA"/>
              </w:rPr>
              <w:t>每增加一项满足附录4资格审查条件(总监理工程师最低要求)的业绩加5分，本项最多加10分。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40" w:type="dxa"/>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2.2.4（3）</w:t>
            </w:r>
          </w:p>
        </w:tc>
        <w:tc>
          <w:tcPr>
            <w:tcW w:w="602" w:type="dxa"/>
            <w:gridSpan w:val="2"/>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评标价</w:t>
            </w:r>
          </w:p>
        </w:tc>
        <w:tc>
          <w:tcPr>
            <w:tcW w:w="567" w:type="dxa"/>
            <w:noWrap w:val="0"/>
            <w:vAlign w:val="center"/>
          </w:tcPr>
          <w:p>
            <w:pPr>
              <w:autoSpaceDE w:val="0"/>
              <w:autoSpaceDN w:val="0"/>
              <w:jc w:val="center"/>
              <w:rPr>
                <w:rFonts w:ascii="宋体" w:hAnsi="宋体" w:cs="宋体"/>
                <w:kern w:val="0"/>
                <w:szCs w:val="21"/>
                <w:highlight w:val="none"/>
              </w:rPr>
            </w:pPr>
            <w:r>
              <w:rPr>
                <w:rFonts w:hint="eastAsia" w:ascii="宋体" w:hAnsi="宋体" w:cs="宋体"/>
                <w:kern w:val="0"/>
                <w:szCs w:val="21"/>
                <w:highlight w:val="none"/>
              </w:rPr>
              <w:t>10分</w:t>
            </w:r>
          </w:p>
        </w:tc>
        <w:tc>
          <w:tcPr>
            <w:tcW w:w="7775" w:type="dxa"/>
            <w:gridSpan w:val="4"/>
            <w:tcBorders>
              <w:top w:val="single" w:color="auto" w:sz="4" w:space="0"/>
            </w:tcBorders>
            <w:noWrap w:val="0"/>
            <w:vAlign w:val="center"/>
          </w:tcPr>
          <w:p>
            <w:pPr>
              <w:rPr>
                <w:highlight w:val="none"/>
              </w:rPr>
            </w:pPr>
            <w:r>
              <w:rPr>
                <w:rFonts w:hint="eastAsia"/>
                <w:highlight w:val="none"/>
                <w:lang w:val="en-US" w:eastAsia="zh-CN"/>
              </w:rPr>
              <w:t>评</w:t>
            </w:r>
            <w:r>
              <w:rPr>
                <w:rFonts w:hint="eastAsia"/>
                <w:highlight w:val="none"/>
              </w:rPr>
              <w:t>标价得分计算公式示例：</w:t>
            </w:r>
          </w:p>
          <w:p>
            <w:pPr>
              <w:rPr>
                <w:highlight w:val="none"/>
              </w:rPr>
            </w:pPr>
            <w:r>
              <w:rPr>
                <w:rFonts w:hint="eastAsia"/>
                <w:highlight w:val="none"/>
              </w:rPr>
              <w:t>（1）如果投标人的</w:t>
            </w:r>
            <w:r>
              <w:rPr>
                <w:rFonts w:hint="eastAsia"/>
                <w:highlight w:val="none"/>
                <w:lang w:val="en-US" w:eastAsia="zh-CN"/>
              </w:rPr>
              <w:t>评</w:t>
            </w:r>
            <w:r>
              <w:rPr>
                <w:rFonts w:hint="eastAsia"/>
                <w:highlight w:val="none"/>
              </w:rPr>
              <w:t>标价＞评标基准价，则</w:t>
            </w:r>
            <w:r>
              <w:rPr>
                <w:rFonts w:hint="eastAsia"/>
                <w:highlight w:val="none"/>
                <w:lang w:val="en-US" w:eastAsia="zh-CN"/>
              </w:rPr>
              <w:t>评</w:t>
            </w:r>
            <w:r>
              <w:rPr>
                <w:rFonts w:hint="eastAsia"/>
                <w:highlight w:val="none"/>
              </w:rPr>
              <w:t>标价得分=F-（投标人</w:t>
            </w:r>
            <w:r>
              <w:rPr>
                <w:rFonts w:hint="eastAsia"/>
                <w:highlight w:val="none"/>
                <w:lang w:val="en-US" w:eastAsia="zh-CN"/>
              </w:rPr>
              <w:t>评</w:t>
            </w:r>
            <w:r>
              <w:rPr>
                <w:rFonts w:hint="eastAsia"/>
                <w:highlight w:val="none"/>
              </w:rPr>
              <w:t>标价-评标基准价）/评标基准价×100×E1</w:t>
            </w:r>
          </w:p>
          <w:p>
            <w:pPr>
              <w:rPr>
                <w:highlight w:val="none"/>
              </w:rPr>
            </w:pPr>
            <w:r>
              <w:rPr>
                <w:rFonts w:hint="eastAsia"/>
                <w:highlight w:val="none"/>
              </w:rPr>
              <w:t>（2）如果投标人的</w:t>
            </w:r>
            <w:r>
              <w:rPr>
                <w:rFonts w:hint="eastAsia"/>
                <w:highlight w:val="none"/>
                <w:lang w:val="en-US" w:eastAsia="zh-CN"/>
              </w:rPr>
              <w:t>评</w:t>
            </w:r>
            <w:r>
              <w:rPr>
                <w:rFonts w:hint="eastAsia"/>
                <w:highlight w:val="none"/>
              </w:rPr>
              <w:t>标价≤评标基准价，则</w:t>
            </w:r>
            <w:r>
              <w:rPr>
                <w:rFonts w:hint="eastAsia"/>
                <w:highlight w:val="none"/>
                <w:lang w:val="en-US" w:eastAsia="zh-CN"/>
              </w:rPr>
              <w:t>评</w:t>
            </w:r>
            <w:r>
              <w:rPr>
                <w:rFonts w:hint="eastAsia"/>
                <w:highlight w:val="none"/>
              </w:rPr>
              <w:t>标价得分=F+(投标人</w:t>
            </w:r>
            <w:r>
              <w:rPr>
                <w:rFonts w:hint="eastAsia"/>
                <w:highlight w:val="none"/>
                <w:lang w:val="en-US" w:eastAsia="zh-CN"/>
              </w:rPr>
              <w:t>评</w:t>
            </w:r>
            <w:r>
              <w:rPr>
                <w:rFonts w:hint="eastAsia"/>
                <w:highlight w:val="none"/>
              </w:rPr>
              <w:t>标价-评标基准价)/评标基准价×100×E2</w:t>
            </w:r>
          </w:p>
          <w:p>
            <w:pPr>
              <w:rPr>
                <w:rFonts w:hint="eastAsia"/>
                <w:highlight w:val="none"/>
              </w:rPr>
            </w:pPr>
            <w:r>
              <w:rPr>
                <w:rFonts w:hint="eastAsia"/>
                <w:highlight w:val="none"/>
              </w:rPr>
              <w:t>其中，F=10；E1=0.</w:t>
            </w:r>
            <w:r>
              <w:rPr>
                <w:highlight w:val="none"/>
              </w:rPr>
              <w:t>2</w:t>
            </w:r>
            <w:r>
              <w:rPr>
                <w:rFonts w:hint="eastAsia"/>
                <w:highlight w:val="none"/>
              </w:rPr>
              <w:t>；E2=0.</w:t>
            </w:r>
            <w:r>
              <w:rPr>
                <w:highlight w:val="none"/>
              </w:rPr>
              <w:t>1</w:t>
            </w:r>
            <w:r>
              <w:rPr>
                <w:rFonts w:hint="eastAsia"/>
                <w:highlight w:val="none"/>
              </w:rPr>
              <w:t>；</w:t>
            </w:r>
            <w:r>
              <w:rPr>
                <w:rFonts w:hint="eastAsia"/>
                <w:highlight w:val="none"/>
                <w:lang w:val="en-US" w:eastAsia="zh-CN"/>
              </w:rPr>
              <w:t>评</w:t>
            </w:r>
            <w:r>
              <w:rPr>
                <w:rFonts w:hint="eastAsia"/>
                <w:highlight w:val="none"/>
              </w:rPr>
              <w:t>标价最低得分为0分</w:t>
            </w:r>
          </w:p>
          <w:p>
            <w:pPr>
              <w:pStyle w:val="2"/>
              <w:rPr>
                <w:highlight w:val="none"/>
              </w:rPr>
            </w:pPr>
            <w:r>
              <w:rPr>
                <w:rFonts w:hint="eastAsia"/>
                <w:highlight w:val="none"/>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540" w:type="dxa"/>
            <w:vMerge w:val="restart"/>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2.2.4（4）</w:t>
            </w:r>
          </w:p>
        </w:tc>
        <w:tc>
          <w:tcPr>
            <w:tcW w:w="312" w:type="dxa"/>
            <w:vMerge w:val="restart"/>
            <w:tcBorders>
              <w:right w:val="single" w:color="auto" w:sz="4" w:space="0"/>
            </w:tcBorders>
            <w:noWrap w:val="0"/>
            <w:vAlign w:val="center"/>
          </w:tcPr>
          <w:p>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其</w:t>
            </w:r>
          </w:p>
          <w:p>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他</w:t>
            </w:r>
          </w:p>
          <w:p>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因</w:t>
            </w:r>
          </w:p>
          <w:p>
            <w:pPr>
              <w:autoSpaceDE w:val="0"/>
              <w:autoSpaceDN w:val="0"/>
              <w:rPr>
                <w:rFonts w:ascii="宋体" w:hAnsi="宋体" w:cs="宋体"/>
                <w:kern w:val="0"/>
                <w:szCs w:val="21"/>
                <w:highlight w:val="none"/>
              </w:rPr>
            </w:pPr>
            <w:r>
              <w:rPr>
                <w:rFonts w:hint="eastAsia" w:ascii="宋体" w:hAnsi="宋体" w:cs="宋体"/>
                <w:kern w:val="0"/>
                <w:szCs w:val="21"/>
                <w:highlight w:val="none"/>
              </w:rPr>
              <w:t>素</w:t>
            </w:r>
          </w:p>
        </w:tc>
        <w:tc>
          <w:tcPr>
            <w:tcW w:w="290" w:type="dxa"/>
            <w:vMerge w:val="restart"/>
            <w:tcBorders>
              <w:left w:val="single" w:color="auto" w:sz="4" w:space="0"/>
              <w:right w:val="single" w:color="auto" w:sz="4" w:space="0"/>
            </w:tcBorders>
            <w:noWrap w:val="0"/>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业绩</w:t>
            </w:r>
          </w:p>
        </w:tc>
        <w:tc>
          <w:tcPr>
            <w:tcW w:w="567" w:type="dxa"/>
            <w:vMerge w:val="restart"/>
            <w:tcBorders>
              <w:left w:val="single" w:color="auto" w:sz="4" w:space="0"/>
            </w:tcBorders>
            <w:noWrap w:val="0"/>
            <w:vAlign w:val="center"/>
          </w:tcPr>
          <w:p>
            <w:pPr>
              <w:autoSpaceDE w:val="0"/>
              <w:autoSpaceDN w:val="0"/>
              <w:jc w:val="center"/>
              <w:rPr>
                <w:rFonts w:ascii="宋体" w:hAnsi="宋体" w:cs="宋体"/>
                <w:kern w:val="0"/>
                <w:szCs w:val="21"/>
                <w:highlight w:val="none"/>
              </w:rPr>
            </w:pPr>
            <w:r>
              <w:rPr>
                <w:rFonts w:hint="eastAsia" w:ascii="宋体" w:hAnsi="宋体" w:cs="宋体"/>
                <w:kern w:val="0"/>
                <w:szCs w:val="21"/>
                <w:highlight w:val="none"/>
              </w:rPr>
              <w:t>25分</w:t>
            </w:r>
          </w:p>
        </w:tc>
        <w:tc>
          <w:tcPr>
            <w:tcW w:w="1560" w:type="dxa"/>
            <w:gridSpan w:val="2"/>
            <w:vMerge w:val="restart"/>
            <w:tcBorders>
              <w:top w:val="single" w:color="auto" w:sz="4" w:space="0"/>
              <w:right w:val="single" w:color="auto" w:sz="4" w:space="0"/>
            </w:tcBorders>
            <w:noWrap w:val="0"/>
            <w:vAlign w:val="center"/>
          </w:tcPr>
          <w:p>
            <w:pPr>
              <w:autoSpaceDE w:val="0"/>
              <w:autoSpaceDN w:val="0"/>
              <w:ind w:firstLine="210" w:firstLineChars="100"/>
              <w:rPr>
                <w:rFonts w:ascii="宋体" w:hAnsi="宋体" w:cs="宋体"/>
                <w:kern w:val="0"/>
                <w:szCs w:val="21"/>
                <w:highlight w:val="none"/>
              </w:rPr>
            </w:pPr>
            <w:r>
              <w:rPr>
                <w:rFonts w:hint="eastAsia" w:ascii="宋体" w:hAnsi="宋体" w:cs="宋体"/>
                <w:kern w:val="0"/>
                <w:szCs w:val="21"/>
                <w:highlight w:val="none"/>
              </w:rPr>
              <w:t>类似项目业绩</w:t>
            </w:r>
          </w:p>
        </w:tc>
        <w:tc>
          <w:tcPr>
            <w:tcW w:w="708" w:type="dxa"/>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2</w:t>
            </w:r>
            <w:r>
              <w:rPr>
                <w:rFonts w:hint="eastAsia" w:ascii="宋体" w:hAnsi="宋体"/>
                <w:szCs w:val="21"/>
                <w:highlight w:val="none"/>
              </w:rPr>
              <w:t>5分</w:t>
            </w:r>
          </w:p>
        </w:tc>
        <w:tc>
          <w:tcPr>
            <w:tcW w:w="5507" w:type="dxa"/>
            <w:tcBorders>
              <w:top w:val="single" w:color="auto" w:sz="4" w:space="0"/>
              <w:left w:val="single" w:color="auto" w:sz="4" w:space="0"/>
              <w:bottom w:val="single" w:color="auto" w:sz="4" w:space="0"/>
            </w:tcBorders>
            <w:noWrap w:val="0"/>
            <w:vAlign w:val="center"/>
          </w:tcPr>
          <w:p>
            <w:pPr>
              <w:jc w:val="left"/>
              <w:rPr>
                <w:rFonts w:ascii="宋体" w:hAnsi="宋体"/>
                <w:szCs w:val="21"/>
                <w:highlight w:val="none"/>
              </w:rPr>
            </w:pPr>
            <w:r>
              <w:rPr>
                <w:rFonts w:hint="eastAsia"/>
                <w:highlight w:val="none"/>
              </w:rPr>
              <w:t>满足</w:t>
            </w:r>
            <w:r>
              <w:rPr>
                <w:rFonts w:hint="eastAsia" w:ascii="宋体" w:hAnsi="宋体" w:eastAsia="宋体" w:cs="Times New Roman"/>
                <w:kern w:val="2"/>
                <w:sz w:val="21"/>
                <w:szCs w:val="21"/>
                <w:highlight w:val="none"/>
                <w:lang w:val="en-US" w:eastAsia="zh-CN" w:bidi="ar-SA"/>
              </w:rPr>
              <w:t>附录2资格审查条件（业绩最低要求）</w:t>
            </w:r>
            <w:r>
              <w:rPr>
                <w:rFonts w:hint="eastAsia"/>
                <w:highlight w:val="none"/>
              </w:rPr>
              <w:t>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8"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312" w:type="dxa"/>
            <w:vMerge w:val="continue"/>
            <w:tcBorders>
              <w:right w:val="single" w:color="auto" w:sz="4" w:space="0"/>
            </w:tcBorders>
            <w:noWrap w:val="0"/>
            <w:vAlign w:val="center"/>
          </w:tcPr>
          <w:p>
            <w:pPr>
              <w:autoSpaceDE w:val="0"/>
              <w:autoSpaceDN w:val="0"/>
              <w:rPr>
                <w:rFonts w:ascii="宋体" w:hAnsi="宋体" w:cs="宋体"/>
                <w:kern w:val="0"/>
                <w:szCs w:val="21"/>
                <w:highlight w:val="none"/>
              </w:rPr>
            </w:pPr>
          </w:p>
        </w:tc>
        <w:tc>
          <w:tcPr>
            <w:tcW w:w="290" w:type="dxa"/>
            <w:vMerge w:val="continue"/>
            <w:tcBorders>
              <w:left w:val="single" w:color="auto" w:sz="4" w:space="0"/>
              <w:right w:val="single" w:color="auto" w:sz="4" w:space="0"/>
            </w:tcBorders>
            <w:noWrap w:val="0"/>
            <w:vAlign w:val="center"/>
          </w:tcPr>
          <w:p>
            <w:pPr>
              <w:autoSpaceDE w:val="0"/>
              <w:autoSpaceDN w:val="0"/>
              <w:rPr>
                <w:rFonts w:ascii="宋体" w:hAnsi="宋体" w:cs="宋体"/>
                <w:kern w:val="0"/>
                <w:szCs w:val="21"/>
                <w:highlight w:val="none"/>
              </w:rPr>
            </w:pPr>
          </w:p>
        </w:tc>
        <w:tc>
          <w:tcPr>
            <w:tcW w:w="567" w:type="dxa"/>
            <w:vMerge w:val="continue"/>
            <w:tcBorders>
              <w:left w:val="single" w:color="auto" w:sz="4" w:space="0"/>
            </w:tcBorders>
            <w:noWrap w:val="0"/>
            <w:vAlign w:val="center"/>
          </w:tcPr>
          <w:p>
            <w:pPr>
              <w:autoSpaceDE w:val="0"/>
              <w:autoSpaceDN w:val="0"/>
              <w:rPr>
                <w:rFonts w:ascii="宋体" w:hAnsi="宋体" w:cs="宋体"/>
                <w:kern w:val="0"/>
                <w:szCs w:val="21"/>
                <w:highlight w:val="none"/>
              </w:rPr>
            </w:pPr>
          </w:p>
        </w:tc>
        <w:tc>
          <w:tcPr>
            <w:tcW w:w="1560" w:type="dxa"/>
            <w:gridSpan w:val="2"/>
            <w:vMerge w:val="continue"/>
            <w:tcBorders>
              <w:right w:val="single" w:color="auto" w:sz="4" w:space="0"/>
            </w:tcBorders>
            <w:noWrap w:val="0"/>
            <w:vAlign w:val="center"/>
          </w:tcPr>
          <w:p>
            <w:pPr>
              <w:autoSpaceDE w:val="0"/>
              <w:autoSpaceDN w:val="0"/>
              <w:ind w:firstLine="210" w:firstLineChars="100"/>
              <w:rPr>
                <w:rFonts w:ascii="宋体" w:hAnsi="宋体" w:cs="宋体"/>
                <w:kern w:val="0"/>
                <w:szCs w:val="21"/>
                <w:highlight w:val="none"/>
              </w:rPr>
            </w:pPr>
          </w:p>
        </w:tc>
        <w:tc>
          <w:tcPr>
            <w:tcW w:w="708" w:type="dxa"/>
            <w:vMerge w:val="continue"/>
            <w:tcBorders>
              <w:left w:val="single" w:color="auto" w:sz="4" w:space="0"/>
              <w:right w:val="single" w:color="auto" w:sz="4" w:space="0"/>
            </w:tcBorders>
            <w:noWrap w:val="0"/>
            <w:vAlign w:val="center"/>
          </w:tcPr>
          <w:p>
            <w:pPr>
              <w:pStyle w:val="5"/>
              <w:jc w:val="center"/>
              <w:rPr>
                <w:rFonts w:hAnsi="宋体"/>
                <w:highlight w:val="none"/>
                <w:lang w:val="en-US" w:eastAsia="zh-CN"/>
              </w:rPr>
            </w:pPr>
          </w:p>
        </w:tc>
        <w:tc>
          <w:tcPr>
            <w:tcW w:w="5507" w:type="dxa"/>
            <w:tcBorders>
              <w:top w:val="single" w:color="auto" w:sz="4" w:space="0"/>
              <w:left w:val="single" w:color="auto" w:sz="4" w:space="0"/>
              <w:bottom w:val="single" w:color="auto" w:sz="4" w:space="0"/>
            </w:tcBorders>
            <w:noWrap w:val="0"/>
            <w:vAlign w:val="center"/>
          </w:tcPr>
          <w:p>
            <w:pPr>
              <w:adjustRightInd w:val="0"/>
              <w:snapToGrid w:val="0"/>
              <w:spacing w:line="320" w:lineRule="exact"/>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每增加1项满足附录2资格审查条件（业绩最低要求）的业绩加5分，本项最多加10分。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4" w:hRule="atLeast"/>
        </w:trPr>
        <w:tc>
          <w:tcPr>
            <w:tcW w:w="540" w:type="dxa"/>
            <w:vMerge w:val="continue"/>
            <w:noWrap w:val="0"/>
            <w:vAlign w:val="center"/>
          </w:tcPr>
          <w:p>
            <w:pPr>
              <w:autoSpaceDE w:val="0"/>
              <w:autoSpaceDN w:val="0"/>
              <w:rPr>
                <w:rFonts w:ascii="宋体" w:hAnsi="宋体" w:cs="宋体"/>
                <w:kern w:val="0"/>
                <w:szCs w:val="21"/>
                <w:highlight w:val="none"/>
              </w:rPr>
            </w:pPr>
          </w:p>
        </w:tc>
        <w:tc>
          <w:tcPr>
            <w:tcW w:w="312" w:type="dxa"/>
            <w:vMerge w:val="continue"/>
            <w:tcBorders>
              <w:right w:val="single" w:color="auto" w:sz="4" w:space="0"/>
            </w:tcBorders>
            <w:noWrap w:val="0"/>
            <w:vAlign w:val="center"/>
          </w:tcPr>
          <w:p>
            <w:pPr>
              <w:autoSpaceDE w:val="0"/>
              <w:autoSpaceDN w:val="0"/>
              <w:rPr>
                <w:rFonts w:ascii="宋体" w:hAnsi="宋体" w:cs="宋体"/>
                <w:kern w:val="0"/>
                <w:szCs w:val="21"/>
                <w:highlight w:val="none"/>
              </w:rPr>
            </w:pPr>
          </w:p>
        </w:tc>
        <w:tc>
          <w:tcPr>
            <w:tcW w:w="290" w:type="dxa"/>
            <w:tcBorders>
              <w:top w:val="single" w:color="auto" w:sz="4" w:space="0"/>
              <w:left w:val="single" w:color="auto" w:sz="4" w:space="0"/>
              <w:right w:val="single" w:color="auto" w:sz="4" w:space="0"/>
            </w:tcBorders>
            <w:noWrap w:val="0"/>
            <w:vAlign w:val="center"/>
          </w:tcPr>
          <w:p>
            <w:pPr>
              <w:autoSpaceDE w:val="0"/>
              <w:autoSpaceDN w:val="0"/>
              <w:rPr>
                <w:rFonts w:ascii="宋体" w:hAnsi="宋体" w:cs="宋体"/>
                <w:kern w:val="0"/>
                <w:szCs w:val="21"/>
                <w:highlight w:val="none"/>
              </w:rPr>
            </w:pPr>
            <w:r>
              <w:rPr>
                <w:rFonts w:hint="eastAsia" w:ascii="宋体" w:hAnsi="宋体" w:cs="宋体"/>
                <w:kern w:val="0"/>
                <w:szCs w:val="21"/>
                <w:highlight w:val="none"/>
              </w:rPr>
              <w:t>履约信誉</w:t>
            </w:r>
          </w:p>
        </w:tc>
        <w:tc>
          <w:tcPr>
            <w:tcW w:w="567" w:type="dxa"/>
            <w:tcBorders>
              <w:top w:val="single" w:color="auto" w:sz="4" w:space="0"/>
              <w:left w:val="single" w:color="auto" w:sz="4" w:space="0"/>
            </w:tcBorders>
            <w:noWrap w:val="0"/>
            <w:vAlign w:val="center"/>
          </w:tcPr>
          <w:p>
            <w:pPr>
              <w:autoSpaceDE w:val="0"/>
              <w:autoSpaceDN w:val="0"/>
              <w:ind w:firstLine="105" w:firstLineChars="50"/>
              <w:rPr>
                <w:rFonts w:ascii="宋体" w:hAnsi="宋体" w:cs="宋体"/>
                <w:kern w:val="0"/>
                <w:szCs w:val="21"/>
                <w:highlight w:val="none"/>
              </w:rPr>
            </w:pPr>
            <w:r>
              <w:rPr>
                <w:rFonts w:hint="eastAsia" w:ascii="宋体" w:hAnsi="宋体" w:cs="宋体"/>
                <w:kern w:val="0"/>
                <w:szCs w:val="21"/>
                <w:highlight w:val="none"/>
              </w:rPr>
              <w:t>5分</w:t>
            </w:r>
          </w:p>
        </w:tc>
        <w:tc>
          <w:tcPr>
            <w:tcW w:w="1560" w:type="dxa"/>
            <w:gridSpan w:val="2"/>
            <w:tcBorders>
              <w:top w:val="single" w:color="auto" w:sz="4" w:space="0"/>
              <w:right w:val="single" w:color="auto" w:sz="4" w:space="0"/>
            </w:tcBorders>
            <w:noWrap w:val="0"/>
            <w:vAlign w:val="center"/>
          </w:tcPr>
          <w:p>
            <w:pPr>
              <w:autoSpaceDE w:val="0"/>
              <w:autoSpaceDN w:val="0"/>
              <w:jc w:val="center"/>
              <w:rPr>
                <w:rFonts w:hint="eastAsia" w:ascii="宋体" w:hAnsi="宋体" w:cs="宋体"/>
                <w:kern w:val="0"/>
                <w:szCs w:val="21"/>
                <w:highlight w:val="none"/>
              </w:rPr>
            </w:pPr>
            <w:r>
              <w:rPr>
                <w:rFonts w:hint="eastAsia"/>
                <w:highlight w:val="none"/>
              </w:rPr>
              <w:t>信誉情况</w:t>
            </w:r>
          </w:p>
        </w:tc>
        <w:tc>
          <w:tcPr>
            <w:tcW w:w="708" w:type="dxa"/>
            <w:tcBorders>
              <w:top w:val="single" w:color="auto" w:sz="4" w:space="0"/>
              <w:left w:val="single" w:color="auto" w:sz="4" w:space="0"/>
              <w:right w:val="single" w:color="auto" w:sz="4" w:space="0"/>
            </w:tcBorders>
            <w:noWrap w:val="0"/>
            <w:vAlign w:val="center"/>
          </w:tcPr>
          <w:p>
            <w:pPr>
              <w:pStyle w:val="5"/>
              <w:jc w:val="center"/>
              <w:rPr>
                <w:rFonts w:hint="eastAsia" w:hAnsi="宋体"/>
                <w:highlight w:val="none"/>
                <w:lang w:val="en-US" w:eastAsia="zh-CN"/>
              </w:rPr>
            </w:pPr>
            <w:r>
              <w:rPr>
                <w:rFonts w:hint="eastAsia" w:hAnsi="宋体"/>
                <w:highlight w:val="none"/>
                <w:lang w:val="en-US" w:eastAsia="zh-CN"/>
              </w:rPr>
              <w:t>5分</w:t>
            </w:r>
          </w:p>
        </w:tc>
        <w:tc>
          <w:tcPr>
            <w:tcW w:w="5507" w:type="dxa"/>
            <w:tcBorders>
              <w:top w:val="single" w:color="auto" w:sz="4" w:space="0"/>
              <w:left w:val="single" w:color="auto" w:sz="4" w:space="0"/>
            </w:tcBorders>
            <w:noWrap w:val="0"/>
            <w:vAlign w:val="center"/>
          </w:tcPr>
          <w:p>
            <w:pPr>
              <w:adjustRightInd w:val="0"/>
              <w:snapToGrid w:val="0"/>
              <w:spacing w:line="320" w:lineRule="exact"/>
              <w:rPr>
                <w:rFonts w:hint="eastAsia" w:ascii="宋体" w:hAnsi="宋体"/>
                <w:szCs w:val="21"/>
                <w:highlight w:val="none"/>
              </w:rPr>
            </w:pPr>
            <w:r>
              <w:rPr>
                <w:rFonts w:hint="eastAsia"/>
                <w:highlight w:val="none"/>
              </w:rPr>
              <w:t>满足资格审查条件要求得5分</w:t>
            </w:r>
          </w:p>
        </w:tc>
      </w:tr>
    </w:tbl>
    <w:p>
      <w:pPr>
        <w:snapToGrid w:val="0"/>
        <w:spacing w:line="360" w:lineRule="auto"/>
        <w:jc w:val="left"/>
        <w:rPr>
          <w:rFonts w:hint="eastAsia"/>
          <w:highlight w:val="none"/>
        </w:rPr>
      </w:pPr>
    </w:p>
    <w:p>
      <w:pPr>
        <w:snapToGrid w:val="0"/>
        <w:spacing w:line="360" w:lineRule="auto"/>
        <w:jc w:val="left"/>
        <w:rPr>
          <w:rFonts w:hint="eastAsia"/>
          <w:highlight w:val="none"/>
        </w:rPr>
      </w:pPr>
    </w:p>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24D548C6"/>
    <w:rsid w:val="32C370BA"/>
    <w:rsid w:val="3C8845C4"/>
    <w:rsid w:val="48074D2D"/>
    <w:rsid w:val="5251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2"/>
      <w:sz w:val="21"/>
      <w:szCs w:val="24"/>
    </w:rPr>
  </w:style>
  <w:style w:type="paragraph" w:customStyle="1" w:styleId="3">
    <w:name w:val="正文文本 21"/>
    <w:basedOn w:val="1"/>
    <w:qFormat/>
    <w:uiPriority w:val="0"/>
    <w:pPr>
      <w:adjustRightInd w:val="0"/>
      <w:spacing w:line="360" w:lineRule="atLeast"/>
      <w:ind w:left="480"/>
    </w:pPr>
    <w:rPr>
      <w:rFonts w:ascii="宋体"/>
      <w:kern w:val="0"/>
      <w:sz w:val="24"/>
      <w:szCs w:val="20"/>
    </w:rPr>
  </w:style>
  <w:style w:type="paragraph" w:styleId="5">
    <w:name w:val="Plain Text"/>
    <w:basedOn w:val="1"/>
    <w:qFormat/>
    <w:uiPriority w:val="99"/>
    <w:rPr>
      <w:rFonts w:ascii="宋体"/>
      <w:szCs w:val="21"/>
    </w:rPr>
  </w:style>
  <w:style w:type="paragraph" w:styleId="6">
    <w:name w:val="Normal (Web)"/>
    <w:basedOn w:val="1"/>
    <w:qFormat/>
    <w:uiPriority w:val="0"/>
    <w:pPr>
      <w:widowControl/>
      <w:spacing w:before="100" w:beforeAutospacing="1" w:after="100" w:afterAutospacing="1"/>
      <w:jc w:val="left"/>
    </w:pPr>
    <w:rPr>
      <w:rFonts w:ascii="宋体" w:cs="Arial"/>
      <w:color w:val="0000FF"/>
      <w:kern w:val="0"/>
      <w:sz w:val="24"/>
      <w:lang w:bidi="ar-SA"/>
    </w:rPr>
  </w:style>
  <w:style w:type="paragraph" w:styleId="7">
    <w:name w:val="Body Text First Indent 2"/>
    <w:basedOn w:val="1"/>
    <w:qFormat/>
    <w:uiPriority w:val="0"/>
    <w:pPr>
      <w:ind w:firstLine="420" w:firstLineChars="200"/>
    </w:pPr>
  </w:style>
  <w:style w:type="paragraph" w:customStyle="1" w:styleId="10">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3960</Words>
  <Characters>4228</Characters>
  <Lines>0</Lines>
  <Paragraphs>0</Paragraphs>
  <TotalTime>9</TotalTime>
  <ScaleCrop>false</ScaleCrop>
  <LinksUpToDate>false</LinksUpToDate>
  <CharactersWithSpaces>4261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2022-07-20T00:58:00Z</dcterms:created>
  <dc:creator>Administrator</dc:creator>
  <cp:lastModifiedBy>韩子程</cp:lastModifiedBy>
  <dcterms:modified xsi:type="dcterms:W3CDTF">2022-07-22T00:50:12Z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8A3BC2D3EC4D41D59932C323ABFE24C3</vt:lpwstr>
  </property>
</Properties>
</file>