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sz w:val="24"/>
          <w:szCs w:val="24"/>
          <w:highlight w:val="none"/>
        </w:rPr>
      </w:pPr>
      <w:bookmarkStart w:id="0" w:name="_Toc356504158"/>
      <w:bookmarkStart w:id="1" w:name="_Toc321927034"/>
      <w:bookmarkStart w:id="2" w:name="_Toc321926668"/>
      <w:bookmarkStart w:id="3" w:name="_Toc470776148"/>
      <w:bookmarkStart w:id="4" w:name="_Toc536788770"/>
      <w:bookmarkStart w:id="5" w:name="OLE_LINK2"/>
      <w:r>
        <w:rPr>
          <w:rFonts w:hint="eastAsia" w:ascii="宋体"/>
          <w:sz w:val="24"/>
          <w:szCs w:val="24"/>
          <w:highlight w:val="none"/>
        </w:rPr>
        <w:t>附件</w:t>
      </w:r>
      <w:r>
        <w:rPr>
          <w:rFonts w:hint="eastAsia" w:ascii="宋体"/>
          <w:sz w:val="24"/>
          <w:szCs w:val="24"/>
          <w:highlight w:val="none"/>
          <w:lang w:val="en-US" w:eastAsia="zh-CN"/>
        </w:rPr>
        <w:t>1</w:t>
      </w:r>
      <w:r>
        <w:rPr>
          <w:rFonts w:hint="eastAsia" w:ascii="宋体"/>
          <w:sz w:val="24"/>
          <w:szCs w:val="24"/>
          <w:highlight w:val="none"/>
        </w:rPr>
        <w:t>：</w:t>
      </w:r>
      <w:bookmarkEnd w:id="0"/>
      <w:bookmarkEnd w:id="1"/>
      <w:bookmarkEnd w:id="2"/>
      <w:bookmarkStart w:id="6" w:name="_Toc356504159"/>
      <w:r>
        <w:rPr>
          <w:rFonts w:hint="eastAsia" w:ascii="宋体"/>
          <w:sz w:val="24"/>
          <w:szCs w:val="24"/>
          <w:highlight w:val="none"/>
        </w:rPr>
        <w:t>资格审查要求</w:t>
      </w:r>
      <w:bookmarkEnd w:id="3"/>
      <w:bookmarkEnd w:id="4"/>
    </w:p>
    <w:p>
      <w:pPr>
        <w:pStyle w:val="7"/>
        <w:snapToGrid w:val="0"/>
        <w:spacing w:before="100" w:beforeAutospacing="1" w:after="100" w:afterAutospacing="1" w:line="240" w:lineRule="auto"/>
        <w:jc w:val="center"/>
        <w:rPr>
          <w:rFonts w:hint="eastAsia" w:ascii="宋体"/>
          <w:sz w:val="24"/>
          <w:szCs w:val="24"/>
          <w:highlight w:val="none"/>
        </w:rPr>
      </w:pPr>
      <w:bookmarkStart w:id="7" w:name="_Toc536788771"/>
      <w:r>
        <w:rPr>
          <w:rFonts w:hint="eastAsia" w:ascii="宋体"/>
          <w:sz w:val="24"/>
          <w:szCs w:val="24"/>
          <w:highlight w:val="none"/>
        </w:rPr>
        <w:t>附录1  资质审查条件（资质最低要求）</w:t>
      </w:r>
      <w:bookmarkEnd w:id="7"/>
    </w:p>
    <w:tbl>
      <w:tblPr>
        <w:tblStyle w:val="1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szCs w:val="21"/>
                <w:highlight w:val="none"/>
              </w:rPr>
            </w:pPr>
            <w:r>
              <w:rPr>
                <w:rFonts w:hint="eastAsia" w:ascii="宋体"/>
                <w:b/>
                <w:szCs w:val="21"/>
                <w:highlight w:val="none"/>
              </w:rPr>
              <w:t>资质</w:t>
            </w:r>
            <w:r>
              <w:rPr>
                <w:rFonts w:hint="eastAsia" w:ascii="宋体"/>
                <w:b/>
                <w:szCs w:val="21"/>
                <w:highlight w:val="none"/>
                <w:lang w:val="en-US" w:eastAsia="zh-CN"/>
              </w:rPr>
              <w:t>等级</w:t>
            </w:r>
            <w:r>
              <w:rPr>
                <w:rFonts w:hint="eastAsia" w:ascii="宋体"/>
                <w:b/>
                <w:szCs w:val="21"/>
                <w:highlight w:val="none"/>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3" w:hRule="atLeast"/>
          <w:jc w:val="center"/>
        </w:trPr>
        <w:tc>
          <w:tcPr>
            <w:tcW w:w="8799" w:type="dxa"/>
            <w:noWrap w:val="0"/>
            <w:vAlign w:val="center"/>
          </w:tcPr>
          <w:p>
            <w:pPr>
              <w:rPr>
                <w:rFonts w:hint="eastAsia" w:ascii="宋体" w:eastAsia="宋体"/>
                <w:sz w:val="21"/>
                <w:szCs w:val="21"/>
                <w:highlight w:val="none"/>
                <w:u w:val="none"/>
                <w:lang w:eastAsia="zh-CN"/>
              </w:rPr>
            </w:pPr>
            <w:r>
              <w:rPr>
                <w:rFonts w:hint="eastAsia" w:ascii="宋体"/>
                <w:sz w:val="21"/>
                <w:szCs w:val="21"/>
                <w:highlight w:val="none"/>
                <w:u w:val="none"/>
              </w:rPr>
              <w:t>具备独立法人资格，持有有效的营业执照；</w:t>
            </w:r>
          </w:p>
        </w:tc>
      </w:tr>
    </w:tbl>
    <w:p>
      <w:pPr>
        <w:pStyle w:val="7"/>
        <w:spacing w:line="240" w:lineRule="auto"/>
        <w:jc w:val="center"/>
        <w:rPr>
          <w:rFonts w:hint="eastAsia" w:ascii="宋体"/>
          <w:sz w:val="24"/>
          <w:szCs w:val="24"/>
          <w:highlight w:val="none"/>
        </w:rPr>
      </w:pPr>
      <w:bookmarkStart w:id="8" w:name="_Toc536788772"/>
    </w:p>
    <w:p>
      <w:pPr>
        <w:pStyle w:val="7"/>
        <w:spacing w:line="240" w:lineRule="auto"/>
        <w:jc w:val="center"/>
        <w:rPr>
          <w:rFonts w:hint="eastAsia" w:ascii="宋体"/>
          <w:sz w:val="24"/>
          <w:szCs w:val="24"/>
          <w:highlight w:val="none"/>
        </w:rPr>
      </w:pPr>
      <w:r>
        <w:rPr>
          <w:rFonts w:hint="eastAsia" w:ascii="宋体"/>
          <w:sz w:val="24"/>
          <w:szCs w:val="24"/>
          <w:highlight w:val="none"/>
        </w:rPr>
        <w:t>附录2  资质审查条件（业绩最低要求）</w:t>
      </w:r>
      <w:bookmarkEnd w:id="8"/>
      <w:r>
        <w:rPr>
          <w:rFonts w:hint="eastAsia" w:ascii="宋体"/>
          <w:sz w:val="24"/>
          <w:szCs w:val="24"/>
          <w:highlight w:val="non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szCs w:val="21"/>
                <w:highlight w:val="none"/>
              </w:rPr>
            </w:pPr>
            <w:r>
              <w:rPr>
                <w:rFonts w:hint="eastAsia" w:ascii="宋体" w:cs="宋体"/>
                <w:b/>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rPr>
                <w:rFonts w:hint="eastAsia" w:ascii="宋体"/>
                <w:szCs w:val="21"/>
                <w:highlight w:val="none"/>
              </w:rPr>
            </w:pPr>
            <w:r>
              <w:rPr>
                <w:rFonts w:hint="eastAsia" w:ascii="宋体"/>
                <w:szCs w:val="21"/>
                <w:highlight w:val="none"/>
              </w:rPr>
              <w:t>近3年内(2019年</w:t>
            </w:r>
            <w:r>
              <w:rPr>
                <w:rFonts w:hint="eastAsia" w:ascii="宋体"/>
                <w:szCs w:val="21"/>
                <w:highlight w:val="none"/>
                <w:lang w:val="en-US" w:eastAsia="zh-CN"/>
              </w:rPr>
              <w:t>7</w:t>
            </w:r>
            <w:r>
              <w:rPr>
                <w:rFonts w:hint="eastAsia" w:ascii="宋体"/>
                <w:szCs w:val="21"/>
                <w:highlight w:val="none"/>
              </w:rPr>
              <w:t>月1日至今，以合同签订时间为准）至少</w:t>
            </w:r>
            <w:r>
              <w:rPr>
                <w:rFonts w:hint="eastAsia" w:ascii="宋体"/>
                <w:szCs w:val="21"/>
                <w:highlight w:val="none"/>
                <w:lang w:val="en-US" w:eastAsia="zh-CN"/>
              </w:rPr>
              <w:t>承揽过一</w:t>
            </w:r>
            <w:r>
              <w:rPr>
                <w:rFonts w:hint="eastAsia" w:ascii="宋体"/>
                <w:szCs w:val="21"/>
                <w:highlight w:val="none"/>
              </w:rPr>
              <w:t>项政府部门</w:t>
            </w:r>
            <w:r>
              <w:rPr>
                <w:rFonts w:hint="eastAsia" w:ascii="宋体"/>
                <w:szCs w:val="21"/>
                <w:highlight w:val="none"/>
                <w:lang w:val="en-US" w:eastAsia="zh-CN"/>
              </w:rPr>
              <w:t>或</w:t>
            </w:r>
            <w:r>
              <w:rPr>
                <w:rFonts w:hint="eastAsia" w:ascii="宋体"/>
                <w:szCs w:val="21"/>
                <w:highlight w:val="none"/>
              </w:rPr>
              <w:t>省厅局级单位</w:t>
            </w:r>
            <w:r>
              <w:rPr>
                <w:rFonts w:hint="eastAsia" w:ascii="宋体"/>
                <w:szCs w:val="21"/>
                <w:highlight w:val="none"/>
                <w:lang w:val="en-US" w:eastAsia="zh-CN"/>
              </w:rPr>
              <w:t>或</w:t>
            </w:r>
            <w:r>
              <w:rPr>
                <w:rFonts w:hint="eastAsia" w:ascii="宋体"/>
                <w:szCs w:val="21"/>
                <w:highlight w:val="none"/>
              </w:rPr>
              <w:t>大型国有企业</w:t>
            </w:r>
            <w:r>
              <w:rPr>
                <w:rFonts w:hint="eastAsia" w:ascii="宋体"/>
                <w:szCs w:val="21"/>
                <w:highlight w:val="none"/>
                <w:lang w:val="en-US" w:eastAsia="zh-CN"/>
              </w:rPr>
              <w:t>合同金额30</w:t>
            </w:r>
            <w:r>
              <w:rPr>
                <w:rFonts w:hint="eastAsia" w:ascii="宋体"/>
                <w:szCs w:val="21"/>
                <w:highlight w:val="none"/>
              </w:rPr>
              <w:t>万以上</w:t>
            </w:r>
            <w:r>
              <w:rPr>
                <w:rFonts w:hint="eastAsia" w:ascii="宋体"/>
                <w:szCs w:val="21"/>
                <w:highlight w:val="none"/>
                <w:lang w:eastAsia="zh-CN"/>
              </w:rPr>
              <w:t>（</w:t>
            </w:r>
            <w:r>
              <w:rPr>
                <w:rFonts w:hint="eastAsia" w:ascii="宋体"/>
                <w:szCs w:val="21"/>
                <w:highlight w:val="none"/>
                <w:lang w:val="en-US" w:eastAsia="zh-CN"/>
              </w:rPr>
              <w:t>含30万元）类似</w:t>
            </w:r>
            <w:r>
              <w:rPr>
                <w:rFonts w:hint="eastAsia" w:ascii="宋体"/>
                <w:szCs w:val="21"/>
                <w:highlight w:val="none"/>
              </w:rPr>
              <w:t>项目业绩。</w:t>
            </w:r>
          </w:p>
        </w:tc>
      </w:tr>
    </w:tbl>
    <w:p>
      <w:pPr>
        <w:pStyle w:val="7"/>
        <w:spacing w:line="240" w:lineRule="auto"/>
        <w:jc w:val="center"/>
        <w:rPr>
          <w:rFonts w:hint="eastAsia" w:ascii="宋体"/>
          <w:sz w:val="24"/>
          <w:szCs w:val="24"/>
          <w:highlight w:val="none"/>
        </w:rPr>
      </w:pPr>
      <w:bookmarkStart w:id="9" w:name="_Toc536788773"/>
    </w:p>
    <w:p>
      <w:pPr>
        <w:pStyle w:val="7"/>
        <w:spacing w:line="240" w:lineRule="auto"/>
        <w:jc w:val="center"/>
        <w:rPr>
          <w:rFonts w:hint="eastAsia" w:ascii="宋体"/>
          <w:highlight w:val="none"/>
        </w:rPr>
      </w:pPr>
      <w:r>
        <w:rPr>
          <w:rFonts w:hint="eastAsia" w:ascii="宋体"/>
          <w:sz w:val="24"/>
          <w:szCs w:val="24"/>
          <w:highlight w:val="none"/>
        </w:rPr>
        <w:t>附录3  资质审查条件（信誉最低要求）</w:t>
      </w:r>
      <w:bookmarkEnd w:id="9"/>
      <w:r>
        <w:rPr>
          <w:rFonts w:hint="eastAsia" w:ascii="宋体"/>
          <w:sz w:val="24"/>
          <w:szCs w:val="24"/>
          <w:highlight w:val="none"/>
        </w:rPr>
        <w:t xml:space="preserve"> </w:t>
      </w:r>
      <w:r>
        <w:rPr>
          <w:rFonts w:hint="eastAsia" w:ascii="宋体"/>
          <w:b w:val="0"/>
          <w:sz w:val="24"/>
          <w:highlight w:val="non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szCs w:val="21"/>
                <w:highlight w:val="none"/>
              </w:rPr>
            </w:pPr>
            <w:r>
              <w:rPr>
                <w:rFonts w:hint="eastAsia" w:ascii="宋体"/>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szCs w:val="21"/>
                <w:highlight w:val="none"/>
              </w:rPr>
            </w:pPr>
            <w:r>
              <w:rPr>
                <w:rFonts w:hint="eastAsia" w:ascii="宋体"/>
                <w:szCs w:val="21"/>
                <w:highlight w:val="none"/>
              </w:rPr>
              <w:t>投标人过去1年（20</w:t>
            </w:r>
            <w:r>
              <w:rPr>
                <w:rFonts w:hint="eastAsia" w:ascii="宋体"/>
                <w:szCs w:val="21"/>
                <w:highlight w:val="none"/>
                <w:lang w:val="en-US" w:eastAsia="zh-CN"/>
              </w:rPr>
              <w:t>21</w:t>
            </w:r>
            <w:r>
              <w:rPr>
                <w:rFonts w:hint="eastAsia" w:ascii="宋体"/>
                <w:szCs w:val="21"/>
                <w:highlight w:val="none"/>
              </w:rPr>
              <w:t>年</w:t>
            </w:r>
            <w:r>
              <w:rPr>
                <w:rFonts w:hint="eastAsia" w:ascii="宋体"/>
                <w:szCs w:val="21"/>
                <w:highlight w:val="none"/>
                <w:lang w:val="en-US" w:eastAsia="zh-CN"/>
              </w:rPr>
              <w:t>7月1日</w:t>
            </w:r>
            <w:r>
              <w:rPr>
                <w:rFonts w:hint="eastAsia" w:ascii="宋体"/>
                <w:szCs w:val="21"/>
                <w:highlight w:val="none"/>
              </w:rPr>
              <w:t>至今）中不曾在</w:t>
            </w:r>
            <w:r>
              <w:rPr>
                <w:rFonts w:hint="eastAsia" w:ascii="宋体"/>
                <w:szCs w:val="21"/>
                <w:highlight w:val="none"/>
                <w:lang w:val="en-US" w:eastAsia="zh-CN"/>
              </w:rPr>
              <w:t>高速</w:t>
            </w:r>
            <w:r>
              <w:rPr>
                <w:rFonts w:hint="eastAsia" w:ascii="宋体"/>
                <w:szCs w:val="21"/>
                <w:highlight w:val="none"/>
              </w:rPr>
              <w:t>公路</w:t>
            </w:r>
            <w:r>
              <w:rPr>
                <w:rFonts w:hint="eastAsia" w:ascii="宋体"/>
                <w:szCs w:val="21"/>
                <w:highlight w:val="none"/>
                <w:lang w:val="en-US" w:eastAsia="zh-CN"/>
              </w:rPr>
              <w:t>项目</w:t>
            </w:r>
            <w:r>
              <w:rPr>
                <w:rFonts w:hint="eastAsia" w:ascii="宋体"/>
                <w:szCs w:val="21"/>
                <w:highlight w:val="none"/>
              </w:rPr>
              <w:t>中违约而被驱逐或因投标人自身的原因而使</w:t>
            </w:r>
            <w:r>
              <w:rPr>
                <w:rFonts w:hint="eastAsia" w:ascii="宋体"/>
                <w:szCs w:val="21"/>
                <w:highlight w:val="none"/>
                <w:lang w:val="en-US" w:eastAsia="zh-CN"/>
              </w:rPr>
              <w:t>高速</w:t>
            </w:r>
            <w:r>
              <w:rPr>
                <w:rFonts w:hint="eastAsia" w:ascii="宋体"/>
                <w:szCs w:val="21"/>
                <w:highlight w:val="none"/>
              </w:rPr>
              <w:t>公路合同被解除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highlight w:val="none"/>
              </w:rPr>
            </w:pPr>
          </w:p>
        </w:tc>
      </w:tr>
    </w:tbl>
    <w:p>
      <w:pPr>
        <w:rPr>
          <w:rFonts w:ascii="宋体"/>
          <w:b/>
          <w:sz w:val="24"/>
          <w:highlight w:val="none"/>
        </w:rPr>
      </w:pPr>
      <w:bookmarkStart w:id="10" w:name="_Toc470776154"/>
    </w:p>
    <w:p>
      <w:pPr>
        <w:rPr>
          <w:rFonts w:hint="eastAsia" w:ascii="宋体" w:hAnsi="宋体"/>
          <w:b/>
          <w:sz w:val="24"/>
          <w:highlight w:val="none"/>
        </w:rPr>
      </w:pPr>
      <w:r>
        <w:rPr>
          <w:rFonts w:ascii="宋体"/>
          <w:b/>
          <w:sz w:val="24"/>
          <w:highlight w:val="none"/>
        </w:rPr>
        <w:br w:type="page"/>
      </w:r>
      <w:bookmarkEnd w:id="6"/>
      <w:bookmarkEnd w:id="10"/>
      <w:bookmarkStart w:id="11" w:name="_Toc470776155"/>
      <w:r>
        <w:rPr>
          <w:rFonts w:hint="eastAsia" w:ascii="宋体"/>
          <w:sz w:val="24"/>
          <w:szCs w:val="24"/>
          <w:highlight w:val="none"/>
        </w:rPr>
        <w:t>附件</w:t>
      </w:r>
      <w:r>
        <w:rPr>
          <w:rFonts w:hint="eastAsia" w:ascii="宋体"/>
          <w:sz w:val="24"/>
          <w:szCs w:val="24"/>
          <w:highlight w:val="none"/>
          <w:lang w:val="en-US" w:eastAsia="zh-CN"/>
        </w:rPr>
        <w:t>2</w:t>
      </w:r>
      <w:r>
        <w:rPr>
          <w:rFonts w:hint="eastAsia" w:ascii="宋体"/>
          <w:sz w:val="24"/>
          <w:szCs w:val="24"/>
          <w:highlight w:val="none"/>
        </w:rPr>
        <w:t>：评标办法</w:t>
      </w:r>
      <w:bookmarkEnd w:id="5"/>
      <w:bookmarkEnd w:id="11"/>
    </w:p>
    <w:p>
      <w:pPr>
        <w:pStyle w:val="13"/>
        <w:spacing w:line="276" w:lineRule="auto"/>
        <w:jc w:val="both"/>
        <w:rPr>
          <w:rFonts w:ascii="宋体" w:hAnsi="宋体" w:eastAsia="宋体"/>
          <w:sz w:val="24"/>
          <w:szCs w:val="30"/>
          <w:highlight w:val="none"/>
        </w:rPr>
      </w:pPr>
      <w:r>
        <w:rPr>
          <w:rFonts w:hint="eastAsia" w:ascii="宋体" w:hAnsi="宋体" w:eastAsia="宋体"/>
          <w:sz w:val="24"/>
          <w:szCs w:val="30"/>
          <w:highlight w:val="none"/>
        </w:rPr>
        <w:t>评标办法前附表</w:t>
      </w:r>
      <w:bookmarkStart w:id="12" w:name="_GoBack"/>
      <w:bookmarkEnd w:id="1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评标办法</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（2）技术得分较高的投标人优先；</w:t>
            </w:r>
          </w:p>
          <w:p>
            <w:pPr>
              <w:keepNext w:val="0"/>
              <w:keepLines w:val="0"/>
              <w:pageBreakBefore w:val="0"/>
              <w:widowControl w:val="0"/>
              <w:kinsoku/>
              <w:wordWrap/>
              <w:overflowPunct/>
              <w:topLinePunct w:val="0"/>
              <w:bidi w:val="0"/>
              <w:snapToGrid w:val="0"/>
              <w:spacing w:line="320" w:lineRule="exact"/>
              <w:ind w:firstLine="272"/>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（3）投标人近</w:t>
            </w:r>
            <w:r>
              <w:rPr>
                <w:rFonts w:hint="eastAsia" w:ascii="宋体" w:hAnsi="宋体" w:eastAsia="宋体" w:cs="宋体"/>
                <w:spacing w:val="-4"/>
                <w:sz w:val="21"/>
                <w:szCs w:val="21"/>
                <w:highlight w:val="none"/>
                <w:lang w:val="en-US" w:eastAsia="zh-CN"/>
              </w:rPr>
              <w:t>3</w:t>
            </w:r>
            <w:r>
              <w:rPr>
                <w:rFonts w:hint="eastAsia" w:ascii="宋体" w:hAnsi="宋体" w:eastAsia="宋体" w:cs="宋体"/>
                <w:spacing w:val="-4"/>
                <w:sz w:val="21"/>
                <w:szCs w:val="21"/>
                <w:highlight w:val="none"/>
              </w:rPr>
              <w:t>年内满足资格审查条件(业绩最低条件)要求的业绩</w:t>
            </w:r>
            <w:r>
              <w:rPr>
                <w:rFonts w:hint="eastAsia" w:ascii="宋体" w:hAnsi="宋体" w:eastAsia="宋体" w:cs="宋体"/>
                <w:spacing w:val="-4"/>
                <w:sz w:val="21"/>
                <w:szCs w:val="21"/>
                <w:highlight w:val="none"/>
                <w:lang w:val="en-US" w:eastAsia="zh-CN"/>
              </w:rPr>
              <w:t>累计合同金额高的</w:t>
            </w:r>
            <w:r>
              <w:rPr>
                <w:rFonts w:hint="eastAsia" w:ascii="宋体" w:hAnsi="宋体" w:eastAsia="宋体" w:cs="宋体"/>
                <w:spacing w:val="-4"/>
                <w:sz w:val="21"/>
                <w:szCs w:val="21"/>
                <w:highlight w:val="none"/>
              </w:rPr>
              <w:t>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250" w:type="dxa"/>
            <w:noWrap w:val="0"/>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a.投标函按招标文件规定填报了补遗书编号（如有）、质量要求、服务期限；</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b.投标函附录的所有数据均符合招标文件规定；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c.投标文件组成齐全完整，内容均按规定填写。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a.投标保证金金额符合招标文件规定的金额，且投标保证金有效期不少于投标有效期；</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b.若投标保证金采用电汇或转账形式提交，投标人应在递交投标文件截止时间之前，将投标保证金由投标人的基本账户转入招标人指定账户；</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c.若投标保证金采用银行保函形式提交，银行保函的格式、开具保函的银行均满足招标文件要求，且在递交投标文件截止时间之前向招标人提交了银行保函原件。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（4）投标人法定代表人授权委托代理人签署投标文件的，须提交授权委托书，授权委托书的签字盖章符合招标文件规定。 </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（5）投标人法定代表人亲自签署投标文件的，提供了法定代表人身份证明，法定代表人身份证明的签字盖章符合招标文件规定。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（6）投标人未以联合体形式投标。</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（7）投标人未对本项目提出分包计划。</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（10）投标文件载明的招标项目完成期限未超过招标文件规定的时限。</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（3）投标函中的报价未超过招标文件设定的最高投标限价。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（4）投标函中报价的大写金额能够确定具体数值。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（5）同一投标人未提交两个以上不同的投标报价。</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（6）报价清单中的投标报价与投标函大写金额一致。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tc>
        <w:tc>
          <w:tcPr>
            <w:tcW w:w="7250" w:type="dxa"/>
            <w:noWrap w:val="0"/>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）投标人不存在第二章“投标人须知”第1.4.3项或第1.4.4项规定的任何一种情形。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tc>
        <w:tc>
          <w:tcPr>
            <w:tcW w:w="72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第一信封（商务及技术文件）评分分值构成：</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实施方案</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70</w:t>
            </w:r>
            <w:r>
              <w:rPr>
                <w:rFonts w:hint="eastAsia" w:ascii="宋体" w:hAnsi="宋体" w:eastAsia="宋体" w:cs="宋体"/>
                <w:kern w:val="0"/>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其他因素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第二信封（报价文件）评分分值构成：</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所有通过第一个信封评审的投标文件，由评标委员会开启第二个信封，并当场计算并宣布评标基准价。</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pPr>
              <w:pStyle w:val="14"/>
              <w:keepNext w:val="0"/>
              <w:keepLines w:val="0"/>
              <w:pageBreakBefore w:val="0"/>
              <w:widowControl w:val="0"/>
              <w:kinsoku/>
              <w:wordWrap/>
              <w:overflowPunct/>
              <w:topLinePunct w:val="0"/>
              <w:bidi w:val="0"/>
              <w:snapToGrid w:val="0"/>
              <w:spacing w:line="3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将评标价平均值直接作为评标基准价（评标基准价保留两位小数，小数点后第三位四舍五入）。</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31" w:leftChars="-15" w:right="-7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31" w:leftChars="-15" w:right="-7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投标文件相关信息核查</w:t>
            </w:r>
          </w:p>
        </w:tc>
        <w:tc>
          <w:tcPr>
            <w:tcW w:w="7250" w:type="dxa"/>
            <w:noWrap w:val="0"/>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在评标过程中，评标委员会应对以下信息进行查询：</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（1）评标委员会评标时对投标人的信用情况在“国家企业信用信息公示系统（http://www.gsxt.gov.cn/)”进行查询，若投标人存在被列入“严重违法失信企业名单”情形的（不含分公司），评标委员会应否决其投标。</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评标时还应对投标人的信用情况在“信用中国网站（http://www.creditchina.gov.cn/)”进行查询，若投标人存在被列入“失信被执行人名单、异常经营名录、税收违法黑名单、政府采购严重违法失信名单”情形的（均不含分公司），评标委员会应否决其投标。</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如投标人未提供相关网页截图或所附截图内容与网站查询结果不一致，评标委员会应否决其投标。</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3.9.3</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31" w:leftChars="-15" w:right="-7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w:t>
            </w:r>
          </w:p>
          <w:p>
            <w:pPr>
              <w:keepNext w:val="0"/>
              <w:keepLines w:val="0"/>
              <w:pageBreakBefore w:val="0"/>
              <w:widowControl w:val="0"/>
              <w:kinsoku/>
              <w:wordWrap/>
              <w:overflowPunct/>
              <w:topLinePunct w:val="0"/>
              <w:bidi w:val="0"/>
              <w:snapToGrid w:val="0"/>
              <w:spacing w:line="320" w:lineRule="exact"/>
              <w:ind w:left="-31" w:leftChars="-15" w:right="-7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结果</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3.8.1 除第二章“投标人须知”前附表授权直接确定中标人外，评标委员会按照评标办法前附表“1.评标办法”的规定推荐中标候选人。</w:t>
            </w:r>
          </w:p>
        </w:tc>
      </w:tr>
    </w:tbl>
    <w:p>
      <w:pPr>
        <w:jc w:val="right"/>
        <w:rPr>
          <w:rFonts w:ascii="宋体" w:hAnsi="宋体"/>
          <w:szCs w:val="21"/>
          <w:highlight w:val="none"/>
        </w:rPr>
      </w:pPr>
      <w:r>
        <w:rPr>
          <w:rFonts w:ascii="宋体" w:hAnsi="宋体"/>
          <w:sz w:val="24"/>
          <w:highlight w:val="none"/>
        </w:rPr>
        <w:br w:type="page"/>
      </w:r>
      <w:r>
        <w:rPr>
          <w:rFonts w:hint="eastAsia" w:ascii="宋体" w:hAnsi="宋体"/>
          <w:sz w:val="24"/>
          <w:highlight w:val="none"/>
        </w:rPr>
        <w:t>续上表</w:t>
      </w:r>
    </w:p>
    <w:tbl>
      <w:tblPr>
        <w:tblStyle w:val="1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评分因素与权重分值</w:t>
            </w:r>
          </w:p>
        </w:tc>
        <w:tc>
          <w:tcPr>
            <w:tcW w:w="5845" w:type="dxa"/>
            <w:vMerge w:val="restart"/>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ind w:left="-40" w:leftChars="-19" w:right="-31" w:rightChars="-15" w:firstLine="1"/>
              <w:jc w:val="center"/>
              <w:textAlignment w:val="auto"/>
              <w:rPr>
                <w:rFonts w:hAnsi="宋体"/>
                <w:sz w:val="21"/>
                <w:szCs w:val="21"/>
                <w:highlight w:val="none"/>
              </w:rPr>
            </w:pPr>
            <w:r>
              <w:rPr>
                <w:rFonts w:hint="eastAsia" w:hAnsi="宋体"/>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Style w:val="15"/>
                <w:color w:val="auto"/>
                <w:sz w:val="21"/>
                <w:szCs w:val="21"/>
                <w:highlight w:val="none"/>
              </w:rPr>
              <w:t>各评分因素细分项</w:t>
            </w:r>
          </w:p>
        </w:tc>
        <w:tc>
          <w:tcPr>
            <w:tcW w:w="567" w:type="dxa"/>
            <w:tcBorders>
              <w:left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分值</w:t>
            </w:r>
          </w:p>
        </w:tc>
        <w:tc>
          <w:tcPr>
            <w:tcW w:w="5845" w:type="dxa"/>
            <w:vMerge w:val="continue"/>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41" w:type="dxa"/>
            <w:vMerge w:val="restart"/>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2.2.4（1）</w:t>
            </w:r>
          </w:p>
        </w:tc>
        <w:tc>
          <w:tcPr>
            <w:tcW w:w="741" w:type="dxa"/>
            <w:vMerge w:val="restart"/>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ascii="宋体" w:hAnsi="宋体" w:eastAsia="宋体" w:cs="宋体"/>
                <w:sz w:val="21"/>
                <w:szCs w:val="21"/>
                <w:highlight w:val="none"/>
                <w:lang w:val="en-US" w:eastAsia="zh-CN"/>
              </w:rPr>
              <w:t>实施方案</w:t>
            </w:r>
          </w:p>
        </w:tc>
        <w:tc>
          <w:tcPr>
            <w:tcW w:w="624" w:type="dxa"/>
            <w:vMerge w:val="restart"/>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lang w:val="en-US" w:eastAsia="zh-CN"/>
              </w:rPr>
              <w:t>70</w:t>
            </w:r>
            <w:r>
              <w:rPr>
                <w:rFonts w:hint="eastAsia" w:hAnsi="宋体"/>
                <w:sz w:val="21"/>
                <w:szCs w:val="21"/>
                <w:highlight w:val="none"/>
              </w:rPr>
              <w:t>分</w:t>
            </w:r>
          </w:p>
        </w:tc>
        <w:tc>
          <w:tcPr>
            <w:tcW w:w="1134" w:type="dxa"/>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项目</w:t>
            </w:r>
            <w:r>
              <w:rPr>
                <w:rFonts w:hint="eastAsia" w:hAnsi="宋体"/>
                <w:sz w:val="21"/>
                <w:szCs w:val="21"/>
                <w:highlight w:val="none"/>
                <w:lang w:val="en-US" w:eastAsia="zh-CN"/>
              </w:rPr>
              <w:t>总体</w:t>
            </w:r>
            <w:r>
              <w:rPr>
                <w:rFonts w:hint="eastAsia" w:hAnsi="宋体"/>
                <w:sz w:val="21"/>
                <w:szCs w:val="21"/>
                <w:highlight w:val="none"/>
              </w:rPr>
              <w:t>实施方案</w:t>
            </w:r>
          </w:p>
        </w:tc>
        <w:tc>
          <w:tcPr>
            <w:tcW w:w="567" w:type="dxa"/>
            <w:noWrap w:val="0"/>
            <w:vAlign w:val="center"/>
          </w:tcPr>
          <w:p>
            <w:pPr>
              <w:pStyle w:val="8"/>
              <w:keepNext w:val="0"/>
              <w:keepLines w:val="0"/>
              <w:pageBreakBefore w:val="0"/>
              <w:widowControl w:val="0"/>
              <w:kinsoku/>
              <w:wordWrap/>
              <w:overflowPunct/>
              <w:topLinePunct w:val="0"/>
              <w:bidi w:val="0"/>
              <w:snapToGrid w:val="0"/>
              <w:spacing w:line="320" w:lineRule="exact"/>
              <w:ind w:leftChars="-48" w:right="-31" w:rightChars="-15" w:hanging="134" w:hangingChars="64"/>
              <w:jc w:val="center"/>
              <w:textAlignment w:val="auto"/>
              <w:rPr>
                <w:rFonts w:hAnsi="宋体"/>
                <w:sz w:val="21"/>
                <w:szCs w:val="21"/>
                <w:highlight w:val="none"/>
              </w:rPr>
            </w:pPr>
            <w:r>
              <w:rPr>
                <w:rFonts w:hint="eastAsia" w:hAnsi="宋体"/>
                <w:sz w:val="21"/>
                <w:szCs w:val="21"/>
                <w:highlight w:val="none"/>
                <w:lang w:val="en-US" w:eastAsia="zh-CN"/>
              </w:rPr>
              <w:t>3</w:t>
            </w:r>
            <w:r>
              <w:rPr>
                <w:rFonts w:hAnsi="宋体"/>
                <w:sz w:val="21"/>
                <w:szCs w:val="21"/>
                <w:highlight w:val="none"/>
              </w:rPr>
              <w:t>0</w:t>
            </w:r>
          </w:p>
          <w:p>
            <w:pPr>
              <w:pStyle w:val="8"/>
              <w:keepNext w:val="0"/>
              <w:keepLines w:val="0"/>
              <w:pageBreakBefore w:val="0"/>
              <w:widowControl w:val="0"/>
              <w:kinsoku/>
              <w:wordWrap/>
              <w:overflowPunct/>
              <w:topLinePunct w:val="0"/>
              <w:bidi w:val="0"/>
              <w:snapToGrid w:val="0"/>
              <w:spacing w:line="320" w:lineRule="exact"/>
              <w:ind w:leftChars="-48" w:right="-31" w:rightChars="-15" w:hanging="134" w:hangingChars="64"/>
              <w:jc w:val="center"/>
              <w:textAlignment w:val="auto"/>
              <w:rPr>
                <w:rFonts w:hAnsi="宋体"/>
                <w:sz w:val="21"/>
                <w:szCs w:val="21"/>
                <w:highlight w:val="none"/>
              </w:rPr>
            </w:pPr>
            <w:r>
              <w:rPr>
                <w:rFonts w:hint="eastAsia" w:hAnsi="宋体"/>
                <w:sz w:val="21"/>
                <w:szCs w:val="21"/>
                <w:highlight w:val="none"/>
              </w:rPr>
              <w:t>分</w:t>
            </w:r>
          </w:p>
        </w:tc>
        <w:tc>
          <w:tcPr>
            <w:tcW w:w="5845" w:type="dxa"/>
            <w:noWrap w:val="0"/>
            <w:vAlign w:val="center"/>
          </w:tcPr>
          <w:p>
            <w:pPr>
              <w:pStyle w:val="14"/>
              <w:keepNext w:val="0"/>
              <w:keepLines w:val="0"/>
              <w:pageBreakBefore w:val="0"/>
              <w:widowControl w:val="0"/>
              <w:kinsoku/>
              <w:wordWrap/>
              <w:overflowPunct/>
              <w:topLinePunct w:val="0"/>
              <w:bidi w:val="0"/>
              <w:snapToGrid w:val="0"/>
              <w:spacing w:line="320" w:lineRule="exact"/>
              <w:textAlignment w:val="auto"/>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投标人对项目需求的理解合理，实施方案涵盖招标人所有需求范围，便于理解且具有可操作性，有特色。</w:t>
            </w:r>
          </w:p>
          <w:p>
            <w:pPr>
              <w:pStyle w:val="14"/>
              <w:keepNext w:val="0"/>
              <w:keepLines w:val="0"/>
              <w:pageBreakBefore w:val="0"/>
              <w:widowControl w:val="0"/>
              <w:kinsoku/>
              <w:wordWrap/>
              <w:overflowPunct/>
              <w:topLinePunct w:val="0"/>
              <w:bidi w:val="0"/>
              <w:snapToGrid w:val="0"/>
              <w:spacing w:line="320" w:lineRule="exact"/>
              <w:textAlignment w:val="auto"/>
              <w:rPr>
                <w:rFonts w:hAnsi="宋体" w:cs="Times New Roman"/>
                <w:color w:val="auto"/>
                <w:kern w:val="2"/>
                <w:sz w:val="21"/>
                <w:szCs w:val="21"/>
                <w:highlight w:val="none"/>
              </w:rPr>
            </w:pPr>
            <w:r>
              <w:rPr>
                <w:rFonts w:hint="eastAsia" w:hAnsi="宋体" w:cs="Times New Roman"/>
                <w:color w:val="auto"/>
                <w:kern w:val="2"/>
                <w:sz w:val="21"/>
                <w:szCs w:val="21"/>
                <w:highlight w:val="none"/>
              </w:rPr>
              <w:t>优秀</w:t>
            </w:r>
            <w:r>
              <w:rPr>
                <w:rFonts w:hint="eastAsia" w:hAnsi="宋体" w:cs="Times New Roman"/>
                <w:color w:val="auto"/>
                <w:kern w:val="2"/>
                <w:sz w:val="21"/>
                <w:szCs w:val="21"/>
                <w:highlight w:val="none"/>
                <w:lang w:val="en-US" w:eastAsia="zh-CN"/>
              </w:rPr>
              <w:t>24</w:t>
            </w:r>
            <w:r>
              <w:rPr>
                <w:rFonts w:hint="eastAsia" w:hAnsi="宋体" w:cs="Times New Roman"/>
                <w:color w:val="auto"/>
                <w:kern w:val="2"/>
                <w:sz w:val="21"/>
                <w:szCs w:val="21"/>
                <w:highlight w:val="none"/>
              </w:rPr>
              <w:t>-</w:t>
            </w:r>
            <w:r>
              <w:rPr>
                <w:rFonts w:hint="eastAsia" w:hAnsi="宋体" w:cs="Times New Roman"/>
                <w:color w:val="auto"/>
                <w:kern w:val="2"/>
                <w:sz w:val="21"/>
                <w:szCs w:val="21"/>
                <w:highlight w:val="none"/>
                <w:lang w:val="en-US" w:eastAsia="zh-CN"/>
              </w:rPr>
              <w:t>30</w:t>
            </w:r>
            <w:r>
              <w:rPr>
                <w:rFonts w:hint="eastAsia" w:hAnsi="宋体" w:cs="Times New Roman"/>
                <w:color w:val="auto"/>
                <w:kern w:val="2"/>
                <w:sz w:val="21"/>
                <w:szCs w:val="21"/>
                <w:highlight w:val="none"/>
              </w:rPr>
              <w:t>分；良好</w:t>
            </w:r>
            <w:r>
              <w:rPr>
                <w:rFonts w:hint="eastAsia" w:hAnsi="宋体" w:cs="Times New Roman"/>
                <w:color w:val="auto"/>
                <w:kern w:val="2"/>
                <w:sz w:val="21"/>
                <w:szCs w:val="21"/>
                <w:highlight w:val="none"/>
                <w:lang w:val="en-US" w:eastAsia="zh-CN"/>
              </w:rPr>
              <w:t>18</w:t>
            </w:r>
            <w:r>
              <w:rPr>
                <w:rFonts w:hint="eastAsia" w:hAnsi="宋体" w:cs="Times New Roman"/>
                <w:color w:val="auto"/>
                <w:kern w:val="2"/>
                <w:sz w:val="21"/>
                <w:szCs w:val="21"/>
                <w:highlight w:val="none"/>
              </w:rPr>
              <w:t>-</w:t>
            </w:r>
            <w:r>
              <w:rPr>
                <w:rFonts w:hint="eastAsia" w:hAnsi="宋体" w:cs="Times New Roman"/>
                <w:color w:val="auto"/>
                <w:kern w:val="2"/>
                <w:sz w:val="21"/>
                <w:szCs w:val="21"/>
                <w:highlight w:val="none"/>
                <w:lang w:val="en-US" w:eastAsia="zh-CN"/>
              </w:rPr>
              <w:t>24</w:t>
            </w:r>
            <w:r>
              <w:rPr>
                <w:rFonts w:hint="eastAsia" w:hAnsi="宋体" w:cs="Times New Roman"/>
                <w:color w:val="auto"/>
                <w:kern w:val="2"/>
                <w:sz w:val="21"/>
                <w:szCs w:val="21"/>
                <w:highlight w:val="none"/>
              </w:rPr>
              <w:t>分；一般</w:t>
            </w:r>
            <w:r>
              <w:rPr>
                <w:rFonts w:hint="eastAsia" w:hAnsi="宋体" w:cs="Times New Roman"/>
                <w:color w:val="auto"/>
                <w:kern w:val="2"/>
                <w:sz w:val="21"/>
                <w:szCs w:val="21"/>
                <w:highlight w:val="none"/>
                <w:lang w:val="en-US" w:eastAsia="zh-CN"/>
              </w:rPr>
              <w:t>18</w:t>
            </w:r>
            <w:r>
              <w:rPr>
                <w:rFonts w:hint="eastAsia" w:hAnsi="宋体" w:cs="Times New Roman"/>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741" w:type="dxa"/>
            <w:vMerge w:val="continue"/>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624" w:type="dxa"/>
            <w:vMerge w:val="continue"/>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c>
          <w:tcPr>
            <w:tcW w:w="1134" w:type="dxa"/>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质量、服务期限保证措施</w:t>
            </w:r>
          </w:p>
        </w:tc>
        <w:tc>
          <w:tcPr>
            <w:tcW w:w="567" w:type="dxa"/>
            <w:noWrap w:val="0"/>
            <w:vAlign w:val="center"/>
          </w:tcPr>
          <w:p>
            <w:pPr>
              <w:pStyle w:val="8"/>
              <w:keepNext w:val="0"/>
              <w:keepLines w:val="0"/>
              <w:pageBreakBefore w:val="0"/>
              <w:widowControl w:val="0"/>
              <w:kinsoku/>
              <w:wordWrap/>
              <w:overflowPunct/>
              <w:topLinePunct w:val="0"/>
              <w:bidi w:val="0"/>
              <w:snapToGrid w:val="0"/>
              <w:spacing w:line="320" w:lineRule="exact"/>
              <w:ind w:leftChars="-48" w:right="-31" w:rightChars="-15" w:hanging="134" w:hangingChars="64"/>
              <w:jc w:val="center"/>
              <w:textAlignment w:val="auto"/>
              <w:rPr>
                <w:rFonts w:hint="eastAsia" w:hAnsi="宋体"/>
                <w:sz w:val="21"/>
                <w:szCs w:val="21"/>
                <w:highlight w:val="none"/>
                <w:lang w:val="en-US" w:eastAsia="zh-CN"/>
              </w:rPr>
            </w:pPr>
            <w:r>
              <w:rPr>
                <w:rFonts w:hint="eastAsia" w:hAnsi="宋体"/>
                <w:sz w:val="21"/>
                <w:szCs w:val="21"/>
                <w:highlight w:val="none"/>
                <w:lang w:val="en-US" w:eastAsia="zh-CN"/>
              </w:rPr>
              <w:t>20</w:t>
            </w:r>
          </w:p>
          <w:p>
            <w:pPr>
              <w:pStyle w:val="8"/>
              <w:keepNext w:val="0"/>
              <w:keepLines w:val="0"/>
              <w:pageBreakBefore w:val="0"/>
              <w:widowControl w:val="0"/>
              <w:kinsoku/>
              <w:wordWrap/>
              <w:overflowPunct/>
              <w:topLinePunct w:val="0"/>
              <w:bidi w:val="0"/>
              <w:snapToGrid w:val="0"/>
              <w:spacing w:line="320" w:lineRule="exact"/>
              <w:ind w:leftChars="-48" w:right="-31" w:rightChars="-15" w:hanging="134" w:hangingChars="64"/>
              <w:jc w:val="center"/>
              <w:textAlignment w:val="auto"/>
              <w:rPr>
                <w:rFonts w:hAnsi="宋体"/>
                <w:sz w:val="21"/>
                <w:szCs w:val="21"/>
                <w:highlight w:val="none"/>
              </w:rPr>
            </w:pPr>
            <w:r>
              <w:rPr>
                <w:rFonts w:hint="eastAsia" w:hAnsi="宋体"/>
                <w:sz w:val="21"/>
                <w:szCs w:val="21"/>
                <w:highlight w:val="none"/>
              </w:rPr>
              <w:t>分</w:t>
            </w:r>
          </w:p>
        </w:tc>
        <w:tc>
          <w:tcPr>
            <w:tcW w:w="5845" w:type="dxa"/>
            <w:noWrap w:val="0"/>
            <w:vAlign w:val="center"/>
          </w:tcPr>
          <w:p>
            <w:pPr>
              <w:pStyle w:val="14"/>
              <w:keepNext w:val="0"/>
              <w:keepLines w:val="0"/>
              <w:pageBreakBefore w:val="0"/>
              <w:widowControl w:val="0"/>
              <w:kinsoku/>
              <w:wordWrap/>
              <w:overflowPunct/>
              <w:topLinePunct w:val="0"/>
              <w:bidi w:val="0"/>
              <w:snapToGrid w:val="0"/>
              <w:spacing w:line="320" w:lineRule="exact"/>
              <w:textAlignment w:val="auto"/>
              <w:rPr>
                <w:rFonts w:hint="eastAsia" w:hAnsi="宋体" w:cs="Times New Roman"/>
                <w:color w:val="auto"/>
                <w:kern w:val="2"/>
                <w:sz w:val="21"/>
                <w:szCs w:val="21"/>
                <w:highlight w:val="none"/>
              </w:rPr>
            </w:pPr>
            <w:r>
              <w:rPr>
                <w:rFonts w:hint="eastAsia" w:hAnsi="宋体"/>
                <w:sz w:val="21"/>
                <w:szCs w:val="21"/>
                <w:highlight w:val="none"/>
                <w:lang w:val="en-US" w:eastAsia="zh-CN"/>
              </w:rPr>
              <w:t>保证措施</w:t>
            </w:r>
            <w:r>
              <w:rPr>
                <w:rFonts w:hint="eastAsia" w:hAnsi="宋体" w:cs="Times New Roman"/>
                <w:color w:val="auto"/>
                <w:kern w:val="2"/>
                <w:sz w:val="21"/>
                <w:szCs w:val="21"/>
                <w:highlight w:val="none"/>
              </w:rPr>
              <w:t>细致、完善、科学，能够提供完善、可操作的</w:t>
            </w:r>
            <w:r>
              <w:rPr>
                <w:rFonts w:hint="eastAsia" w:hAnsi="宋体" w:cs="Times New Roman"/>
                <w:color w:val="auto"/>
                <w:kern w:val="2"/>
                <w:sz w:val="21"/>
                <w:szCs w:val="21"/>
                <w:highlight w:val="none"/>
                <w:lang w:val="en-US" w:eastAsia="zh-CN"/>
              </w:rPr>
              <w:t>保证措施</w:t>
            </w:r>
            <w:r>
              <w:rPr>
                <w:rFonts w:hint="eastAsia" w:hAnsi="宋体" w:cs="Times New Roman"/>
                <w:color w:val="auto"/>
                <w:kern w:val="2"/>
                <w:sz w:val="21"/>
                <w:szCs w:val="21"/>
                <w:highlight w:val="none"/>
              </w:rPr>
              <w:t>的，满足招标文件的要求。</w:t>
            </w:r>
          </w:p>
          <w:p>
            <w:pPr>
              <w:pStyle w:val="14"/>
              <w:keepNext w:val="0"/>
              <w:keepLines w:val="0"/>
              <w:pageBreakBefore w:val="0"/>
              <w:widowControl w:val="0"/>
              <w:kinsoku/>
              <w:wordWrap/>
              <w:overflowPunct/>
              <w:topLinePunct w:val="0"/>
              <w:bidi w:val="0"/>
              <w:snapToGrid w:val="0"/>
              <w:spacing w:line="320" w:lineRule="exact"/>
              <w:textAlignment w:val="auto"/>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优秀</w:t>
            </w:r>
            <w:r>
              <w:rPr>
                <w:rFonts w:hint="eastAsia" w:hAnsi="宋体" w:cs="Times New Roman"/>
                <w:color w:val="auto"/>
                <w:kern w:val="2"/>
                <w:sz w:val="21"/>
                <w:szCs w:val="21"/>
                <w:highlight w:val="none"/>
                <w:lang w:val="en-US" w:eastAsia="zh-CN"/>
              </w:rPr>
              <w:t>16</w:t>
            </w:r>
            <w:r>
              <w:rPr>
                <w:rFonts w:hint="eastAsia" w:hAnsi="宋体" w:cs="Times New Roman"/>
                <w:color w:val="auto"/>
                <w:kern w:val="2"/>
                <w:sz w:val="21"/>
                <w:szCs w:val="21"/>
                <w:highlight w:val="none"/>
              </w:rPr>
              <w:t>-</w:t>
            </w:r>
            <w:r>
              <w:rPr>
                <w:rFonts w:hint="eastAsia" w:hAnsi="宋体" w:cs="Times New Roman"/>
                <w:color w:val="auto"/>
                <w:kern w:val="2"/>
                <w:sz w:val="21"/>
                <w:szCs w:val="21"/>
                <w:highlight w:val="none"/>
                <w:lang w:val="en-US" w:eastAsia="zh-CN"/>
              </w:rPr>
              <w:t>20</w:t>
            </w:r>
            <w:r>
              <w:rPr>
                <w:rFonts w:hint="eastAsia" w:hAnsi="宋体" w:cs="Times New Roman"/>
                <w:color w:val="auto"/>
                <w:kern w:val="2"/>
                <w:sz w:val="21"/>
                <w:szCs w:val="21"/>
                <w:highlight w:val="none"/>
              </w:rPr>
              <w:t>分；良好</w:t>
            </w:r>
            <w:r>
              <w:rPr>
                <w:rFonts w:hint="eastAsia" w:hAnsi="宋体" w:cs="Times New Roman"/>
                <w:color w:val="auto"/>
                <w:kern w:val="2"/>
                <w:sz w:val="21"/>
                <w:szCs w:val="21"/>
                <w:highlight w:val="none"/>
                <w:lang w:val="en-US" w:eastAsia="zh-CN"/>
              </w:rPr>
              <w:t>12</w:t>
            </w:r>
            <w:r>
              <w:rPr>
                <w:rFonts w:hint="eastAsia" w:hAnsi="宋体" w:cs="Times New Roman"/>
                <w:color w:val="auto"/>
                <w:kern w:val="2"/>
                <w:sz w:val="21"/>
                <w:szCs w:val="21"/>
                <w:highlight w:val="none"/>
              </w:rPr>
              <w:t>-</w:t>
            </w:r>
            <w:r>
              <w:rPr>
                <w:rFonts w:hint="eastAsia" w:hAnsi="宋体" w:cs="Times New Roman"/>
                <w:color w:val="auto"/>
                <w:kern w:val="2"/>
                <w:sz w:val="21"/>
                <w:szCs w:val="21"/>
                <w:highlight w:val="none"/>
                <w:lang w:val="en-US" w:eastAsia="zh-CN"/>
              </w:rPr>
              <w:t>16</w:t>
            </w:r>
            <w:r>
              <w:rPr>
                <w:rFonts w:hint="eastAsia" w:hAnsi="宋体" w:cs="Times New Roman"/>
                <w:color w:val="auto"/>
                <w:kern w:val="2"/>
                <w:sz w:val="21"/>
                <w:szCs w:val="21"/>
                <w:highlight w:val="none"/>
              </w:rPr>
              <w:t>分；一般</w:t>
            </w:r>
            <w:r>
              <w:rPr>
                <w:rFonts w:hint="eastAsia" w:hAnsi="宋体" w:cs="Times New Roman"/>
                <w:color w:val="auto"/>
                <w:kern w:val="2"/>
                <w:sz w:val="21"/>
                <w:szCs w:val="21"/>
                <w:highlight w:val="none"/>
                <w:lang w:val="en-US" w:eastAsia="zh-CN"/>
              </w:rPr>
              <w:t>12</w:t>
            </w:r>
            <w:r>
              <w:rPr>
                <w:rFonts w:hint="eastAsia" w:hAnsi="宋体" w:cs="Times New Roman"/>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41" w:type="dxa"/>
            <w:vMerge w:val="continue"/>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741" w:type="dxa"/>
            <w:vMerge w:val="continue"/>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624" w:type="dxa"/>
            <w:vMerge w:val="continue"/>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c>
          <w:tcPr>
            <w:tcW w:w="1134" w:type="dxa"/>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服务团队</w:t>
            </w:r>
          </w:p>
        </w:tc>
        <w:tc>
          <w:tcPr>
            <w:tcW w:w="567" w:type="dxa"/>
            <w:noWrap w:val="0"/>
            <w:vAlign w:val="center"/>
          </w:tcPr>
          <w:p>
            <w:pPr>
              <w:pStyle w:val="8"/>
              <w:keepNext w:val="0"/>
              <w:keepLines w:val="0"/>
              <w:pageBreakBefore w:val="0"/>
              <w:widowControl w:val="0"/>
              <w:kinsoku/>
              <w:wordWrap/>
              <w:overflowPunct/>
              <w:topLinePunct w:val="0"/>
              <w:bidi w:val="0"/>
              <w:snapToGrid w:val="0"/>
              <w:spacing w:line="320" w:lineRule="exact"/>
              <w:ind w:leftChars="-48" w:right="-31" w:rightChars="-15" w:hanging="134" w:hangingChars="64"/>
              <w:jc w:val="center"/>
              <w:textAlignment w:val="auto"/>
              <w:rPr>
                <w:rFonts w:hint="eastAsia" w:hAnsi="宋体"/>
                <w:sz w:val="21"/>
                <w:szCs w:val="21"/>
                <w:highlight w:val="none"/>
                <w:lang w:val="en-US" w:eastAsia="zh-CN"/>
              </w:rPr>
            </w:pPr>
            <w:r>
              <w:rPr>
                <w:rFonts w:hint="eastAsia" w:hAnsi="宋体"/>
                <w:sz w:val="21"/>
                <w:szCs w:val="21"/>
                <w:highlight w:val="none"/>
                <w:lang w:val="en-US" w:eastAsia="zh-CN"/>
              </w:rPr>
              <w:t>20</w:t>
            </w:r>
          </w:p>
          <w:p>
            <w:pPr>
              <w:pStyle w:val="8"/>
              <w:keepNext w:val="0"/>
              <w:keepLines w:val="0"/>
              <w:pageBreakBefore w:val="0"/>
              <w:widowControl w:val="0"/>
              <w:kinsoku/>
              <w:wordWrap/>
              <w:overflowPunct/>
              <w:topLinePunct w:val="0"/>
              <w:bidi w:val="0"/>
              <w:snapToGrid w:val="0"/>
              <w:spacing w:line="320" w:lineRule="exact"/>
              <w:ind w:leftChars="-48" w:right="-31" w:rightChars="-15" w:hanging="134" w:hangingChars="64"/>
              <w:jc w:val="center"/>
              <w:textAlignment w:val="auto"/>
              <w:rPr>
                <w:rFonts w:hAnsi="宋体"/>
                <w:sz w:val="21"/>
                <w:szCs w:val="21"/>
                <w:highlight w:val="none"/>
              </w:rPr>
            </w:pPr>
            <w:r>
              <w:rPr>
                <w:rFonts w:hint="eastAsia" w:hAnsi="宋体"/>
                <w:sz w:val="21"/>
                <w:szCs w:val="21"/>
                <w:highlight w:val="none"/>
              </w:rPr>
              <w:t>分</w:t>
            </w:r>
          </w:p>
        </w:tc>
        <w:tc>
          <w:tcPr>
            <w:tcW w:w="5845" w:type="dxa"/>
            <w:noWrap w:val="0"/>
            <w:vAlign w:val="center"/>
          </w:tcPr>
          <w:p>
            <w:pPr>
              <w:pStyle w:val="14"/>
              <w:keepNext w:val="0"/>
              <w:keepLines w:val="0"/>
              <w:pageBreakBefore w:val="0"/>
              <w:widowControl w:val="0"/>
              <w:kinsoku/>
              <w:wordWrap/>
              <w:overflowPunct/>
              <w:topLinePunct w:val="0"/>
              <w:bidi w:val="0"/>
              <w:snapToGrid w:val="0"/>
              <w:spacing w:line="320" w:lineRule="exact"/>
              <w:textAlignment w:val="auto"/>
              <w:rPr>
                <w:rFonts w:hint="eastAsia"/>
                <w:sz w:val="21"/>
                <w:szCs w:val="21"/>
                <w:highlight w:val="none"/>
                <w:lang w:val="en-US" w:eastAsia="zh-CN"/>
              </w:rPr>
            </w:pPr>
            <w:r>
              <w:rPr>
                <w:rFonts w:hint="eastAsia"/>
                <w:sz w:val="21"/>
                <w:szCs w:val="21"/>
                <w:highlight w:val="none"/>
                <w:lang w:val="en-US" w:eastAsia="zh-CN"/>
              </w:rPr>
              <w:t>拟投入本项目的服务团队成员构成合理，人员数量能够满足项目需求。</w:t>
            </w:r>
          </w:p>
          <w:p>
            <w:pPr>
              <w:rPr>
                <w:rFonts w:hint="eastAsia"/>
                <w:highlight w:val="none"/>
              </w:rPr>
            </w:pPr>
            <w:r>
              <w:rPr>
                <w:rFonts w:hint="eastAsia" w:ascii="宋体" w:hAnsi="宋体" w:eastAsia="宋体" w:cs="Times New Roman"/>
                <w:color w:val="auto"/>
                <w:kern w:val="2"/>
                <w:sz w:val="21"/>
                <w:szCs w:val="21"/>
                <w:highlight w:val="none"/>
                <w:lang w:val="en-US" w:eastAsia="zh-CN" w:bidi="ar-SA"/>
              </w:rPr>
              <w:t>优秀16-20分；良好12-16分；一般12分。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2.2.4（3）</w:t>
            </w:r>
          </w:p>
        </w:tc>
        <w:tc>
          <w:tcPr>
            <w:tcW w:w="741" w:type="dxa"/>
            <w:tcBorders>
              <w:top w:val="nil"/>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评标价</w:t>
            </w:r>
          </w:p>
        </w:tc>
        <w:tc>
          <w:tcPr>
            <w:tcW w:w="624" w:type="dxa"/>
            <w:tcBorders>
              <w:top w:val="nil"/>
              <w:bottom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10分</w:t>
            </w:r>
          </w:p>
        </w:tc>
        <w:tc>
          <w:tcPr>
            <w:tcW w:w="7546" w:type="dxa"/>
            <w:gridSpan w:val="3"/>
            <w:tcBorders>
              <w:bottom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rPr>
              <w:t>评标价得分计算公式示例：</w:t>
            </w:r>
          </w:p>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rPr>
              <w:t>（1）如果投标人的评标价＞评标基准价，则评标价得分=F-（投标人评标价-评标基准价）/评标基准价×100×E1；</w:t>
            </w:r>
          </w:p>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rPr>
              <w:t>（2）如果投标人的评标价≤评标基准价，则评标价得分=F+(投标人评标价-评标基准价)/评标基准价×100×E2。</w:t>
            </w:r>
          </w:p>
          <w:p>
            <w:pPr>
              <w:keepNext w:val="0"/>
              <w:keepLines w:val="0"/>
              <w:pageBreakBefore w:val="0"/>
              <w:widowControl w:val="0"/>
              <w:kinsoku/>
              <w:wordWrap/>
              <w:overflowPunct/>
              <w:topLinePunct w:val="0"/>
              <w:bidi w:val="0"/>
              <w:snapToGrid w:val="0"/>
              <w:spacing w:line="320" w:lineRule="exact"/>
              <w:jc w:val="left"/>
              <w:textAlignment w:val="auto"/>
              <w:rPr>
                <w:rFonts w:ascii="宋体" w:hAnsi="宋体"/>
                <w:sz w:val="21"/>
                <w:szCs w:val="21"/>
                <w:highlight w:val="none"/>
              </w:rPr>
            </w:pPr>
            <w:r>
              <w:rPr>
                <w:rFonts w:hint="eastAsia" w:ascii="宋体" w:hAnsi="宋体"/>
                <w:sz w:val="21"/>
                <w:szCs w:val="21"/>
                <w:highlight w:val="none"/>
              </w:rPr>
              <w:t>其中，F=10；E1=0.2；E2=0.1；评标价最低得分为0分。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2.2.4（4）</w:t>
            </w:r>
          </w:p>
        </w:tc>
        <w:tc>
          <w:tcPr>
            <w:tcW w:w="741" w:type="dxa"/>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其他因素</w:t>
            </w:r>
          </w:p>
        </w:tc>
        <w:tc>
          <w:tcPr>
            <w:tcW w:w="624" w:type="dxa"/>
            <w:tcBorders>
              <w:top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lang w:val="en-US" w:eastAsia="zh-CN"/>
              </w:rPr>
              <w:t>2</w:t>
            </w:r>
            <w:r>
              <w:rPr>
                <w:rFonts w:hAnsi="宋体"/>
                <w:sz w:val="21"/>
                <w:szCs w:val="21"/>
                <w:highlight w:val="none"/>
              </w:rPr>
              <w:t>0</w:t>
            </w:r>
            <w:r>
              <w:rPr>
                <w:rFonts w:hint="eastAsia" w:hAnsi="宋体"/>
                <w:sz w:val="21"/>
                <w:szCs w:val="21"/>
                <w:highlight w:val="none"/>
              </w:rPr>
              <w:t>分</w:t>
            </w:r>
          </w:p>
        </w:tc>
        <w:tc>
          <w:tcPr>
            <w:tcW w:w="1134" w:type="dxa"/>
            <w:tcBorders>
              <w:top w:val="single" w:color="auto" w:sz="4" w:space="0"/>
              <w:bottom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业绩</w:t>
            </w:r>
          </w:p>
        </w:tc>
        <w:tc>
          <w:tcPr>
            <w:tcW w:w="567" w:type="dxa"/>
            <w:tcBorders>
              <w:top w:val="single" w:color="auto" w:sz="4" w:space="0"/>
              <w:bottom w:val="single" w:color="auto" w:sz="4" w:space="0"/>
            </w:tcBorders>
            <w:noWrap w:val="0"/>
            <w:vAlign w:val="center"/>
          </w:tcPr>
          <w:p>
            <w:pPr>
              <w:pStyle w:val="8"/>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lang w:val="en-US" w:eastAsia="zh-CN"/>
              </w:rPr>
              <w:t>20</w:t>
            </w:r>
            <w:r>
              <w:rPr>
                <w:rFonts w:hint="eastAsia" w:hAnsi="宋体"/>
                <w:sz w:val="21"/>
                <w:szCs w:val="21"/>
                <w:highlight w:val="none"/>
              </w:rPr>
              <w:t>分</w:t>
            </w:r>
          </w:p>
        </w:tc>
        <w:tc>
          <w:tcPr>
            <w:tcW w:w="584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lang w:val="en-US" w:eastAsia="zh-CN"/>
              </w:rPr>
              <w:t>1、</w:t>
            </w:r>
            <w:r>
              <w:rPr>
                <w:rFonts w:hint="eastAsia" w:ascii="宋体" w:hAnsi="宋体"/>
                <w:kern w:val="2"/>
                <w:sz w:val="21"/>
                <w:szCs w:val="21"/>
                <w:highlight w:val="none"/>
              </w:rPr>
              <w:t>满足资格审查条件（业绩最低要求）得</w:t>
            </w:r>
            <w:r>
              <w:rPr>
                <w:rFonts w:hint="eastAsia" w:ascii="宋体" w:hAnsi="宋体"/>
                <w:kern w:val="2"/>
                <w:sz w:val="21"/>
                <w:szCs w:val="21"/>
                <w:highlight w:val="none"/>
                <w:lang w:val="en-US" w:eastAsia="zh-CN"/>
              </w:rPr>
              <w:t>12</w:t>
            </w:r>
            <w:r>
              <w:rPr>
                <w:rFonts w:hint="eastAsia" w:ascii="宋体" w:hAnsi="宋体"/>
                <w:kern w:val="2"/>
                <w:sz w:val="21"/>
                <w:szCs w:val="21"/>
                <w:highlight w:val="none"/>
              </w:rPr>
              <w:t>分；</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kern w:val="2"/>
                <w:sz w:val="21"/>
                <w:szCs w:val="21"/>
                <w:highlight w:val="none"/>
              </w:rPr>
            </w:pPr>
            <w:r>
              <w:rPr>
                <w:rFonts w:hint="eastAsia" w:ascii="宋体" w:hAnsi="宋体"/>
                <w:kern w:val="2"/>
                <w:sz w:val="21"/>
                <w:szCs w:val="21"/>
                <w:highlight w:val="none"/>
                <w:lang w:val="en-US" w:eastAsia="zh-CN"/>
              </w:rPr>
              <w:t>2、每增加一个</w:t>
            </w:r>
            <w:r>
              <w:rPr>
                <w:rFonts w:hint="eastAsia" w:ascii="宋体" w:hAnsi="宋体"/>
                <w:kern w:val="2"/>
                <w:sz w:val="21"/>
                <w:szCs w:val="21"/>
                <w:highlight w:val="none"/>
              </w:rPr>
              <w:t>满足资格审查条件（业绩最低要求）</w:t>
            </w:r>
            <w:r>
              <w:rPr>
                <w:rFonts w:hint="eastAsia" w:ascii="宋体" w:hAnsi="宋体"/>
                <w:kern w:val="2"/>
                <w:sz w:val="21"/>
                <w:szCs w:val="21"/>
                <w:highlight w:val="none"/>
                <w:lang w:val="en-US" w:eastAsia="zh-CN"/>
              </w:rPr>
              <w:t>的业绩加4分，本项最多加8分</w:t>
            </w:r>
            <w:r>
              <w:rPr>
                <w:rFonts w:hint="eastAsia" w:ascii="宋体" w:hAnsi="宋体"/>
                <w:kern w:val="2"/>
                <w:sz w:val="21"/>
                <w:szCs w:val="21"/>
                <w:highlight w:val="none"/>
              </w:rPr>
              <w:t>。</w:t>
            </w:r>
          </w:p>
        </w:tc>
      </w:tr>
    </w:tbl>
    <w:p>
      <w:pPr>
        <w:pStyle w:val="8"/>
        <w:rPr>
          <w:rFonts w:hAnsi="宋体"/>
          <w:szCs w:val="21"/>
          <w:highlight w:val="none"/>
        </w:rPr>
      </w:pPr>
    </w:p>
    <w:p>
      <w:pPr>
        <w:pStyle w:val="8"/>
        <w:rPr>
          <w:rFonts w:hAnsi="宋体"/>
          <w:szCs w:val="21"/>
          <w:highlight w:val="none"/>
        </w:rPr>
      </w:pPr>
      <w:r>
        <w:rPr>
          <w:rFonts w:hint="eastAsia" w:hAnsi="宋体"/>
          <w:szCs w:val="21"/>
          <w:highlight w:val="none"/>
        </w:rPr>
        <w:t>注：1、</w:t>
      </w:r>
      <w:r>
        <w:rPr>
          <w:rFonts w:hAnsi="宋体"/>
          <w:highlight w:val="none"/>
        </w:rPr>
        <w:t>各评分因素得分应以评标委员会各成员的打分平均值确定</w:t>
      </w:r>
      <w:r>
        <w:rPr>
          <w:rFonts w:hint="eastAsia" w:hAnsi="宋体"/>
          <w:szCs w:val="21"/>
          <w:highlight w:val="none"/>
        </w:rPr>
        <w:t>。</w:t>
      </w:r>
    </w:p>
    <w:p>
      <w:pPr>
        <w:pStyle w:val="8"/>
        <w:ind w:firstLine="428" w:firstLineChars="204"/>
        <w:rPr>
          <w:rFonts w:hAnsi="宋体"/>
          <w:highlight w:val="none"/>
        </w:rPr>
      </w:pPr>
      <w:r>
        <w:rPr>
          <w:rFonts w:hint="eastAsia" w:hAnsi="宋体"/>
          <w:highlight w:val="none"/>
        </w:rPr>
        <w:t>2、缺项则该项得0分。</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7A2020B"/>
    <w:rsid w:val="1AEE25CF"/>
    <w:rsid w:val="1C0924B5"/>
    <w:rsid w:val="1EB27C5B"/>
    <w:rsid w:val="20D46841"/>
    <w:rsid w:val="37CA689F"/>
    <w:rsid w:val="44C06BEE"/>
    <w:rsid w:val="50FB0FC7"/>
    <w:rsid w:val="630676AD"/>
    <w:rsid w:val="6D7362C6"/>
    <w:rsid w:val="7638315B"/>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7">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2"/>
      <w:sz w:val="21"/>
      <w:szCs w:val="24"/>
    </w:rPr>
  </w:style>
  <w:style w:type="paragraph" w:customStyle="1" w:styleId="3">
    <w:name w:val="正文部分 Char Char Char"/>
    <w:basedOn w:val="2"/>
    <w:next w:val="4"/>
    <w:qFormat/>
    <w:uiPriority w:val="99"/>
    <w:pPr>
      <w:spacing w:line="460" w:lineRule="exact"/>
      <w:textAlignment w:val="baseline"/>
    </w:pPr>
    <w:rPr>
      <w:sz w:val="24"/>
    </w:rPr>
  </w:style>
  <w:style w:type="paragraph" w:customStyle="1" w:styleId="4">
    <w:name w:val="章标题"/>
    <w:basedOn w:val="5"/>
    <w:qFormat/>
    <w:uiPriority w:val="99"/>
    <w:pPr>
      <w:spacing w:line="360" w:lineRule="auto"/>
    </w:pPr>
  </w:style>
  <w:style w:type="paragraph" w:styleId="5">
    <w:name w:val="Title"/>
    <w:basedOn w:val="1"/>
    <w:next w:val="1"/>
    <w:qFormat/>
    <w:uiPriority w:val="0"/>
    <w:pPr>
      <w:spacing w:before="240" w:beforeLines="0" w:after="60" w:afterLines="0"/>
      <w:jc w:val="center"/>
      <w:outlineLvl w:val="0"/>
    </w:pPr>
    <w:rPr>
      <w:sz w:val="18"/>
      <w:szCs w:val="18"/>
    </w:rPr>
  </w:style>
  <w:style w:type="paragraph" w:styleId="8">
    <w:name w:val="Plain Text"/>
    <w:basedOn w:val="1"/>
    <w:qFormat/>
    <w:uiPriority w:val="99"/>
    <w:rPr>
      <w:rFonts w:ascii="宋体"/>
      <w:szCs w:val="21"/>
    </w:rPr>
  </w:style>
  <w:style w:type="paragraph" w:styleId="9">
    <w:name w:val="toc 2"/>
    <w:basedOn w:val="1"/>
    <w:next w:val="1"/>
    <w:qFormat/>
    <w:uiPriority w:val="39"/>
    <w:pPr>
      <w:tabs>
        <w:tab w:val="right" w:leader="dot" w:pos="9458"/>
      </w:tabs>
      <w:spacing w:line="360" w:lineRule="auto"/>
      <w:ind w:left="210"/>
      <w:jc w:val="left"/>
    </w:pPr>
    <w:rPr>
      <w:smallCaps/>
      <w:sz w:val="20"/>
      <w:szCs w:val="20"/>
    </w:rPr>
  </w:style>
  <w:style w:type="paragraph" w:customStyle="1" w:styleId="12">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3">
    <w:name w:val="样式54"/>
    <w:basedOn w:val="6"/>
    <w:qFormat/>
    <w:uiPriority w:val="0"/>
    <w:pPr>
      <w:spacing w:before="0" w:after="0" w:line="360" w:lineRule="auto"/>
      <w:jc w:val="center"/>
    </w:pPr>
  </w:style>
  <w:style w:type="paragraph" w:customStyle="1" w:styleId="14">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5">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4839</Words>
  <Characters>5261</Characters>
  <Lines>0</Lines>
  <Paragraphs>0</Paragraphs>
  <TotalTime>15</TotalTime>
  <ScaleCrop>false</ScaleCrop>
  <LinksUpToDate>false</LinksUpToDate>
  <CharactersWithSpaces>5304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2022-07-21T00:33:00Z</dcterms:created>
  <dc:creator>Administrator</dc:creator>
  <cp:lastModifiedBy>韩子程</cp:lastModifiedBy>
  <dcterms:modified xsi:type="dcterms:W3CDTF">2022-07-21T01:48:42Z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E99781D064C24A16B577B08ECEA1AF74</vt:lpwstr>
  </property>
</Properties>
</file>