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rPr>
      </w:pPr>
      <w:bookmarkStart w:id="0" w:name="_Toc100600164"/>
      <w:bookmarkStart w:id="1" w:name="_Toc38880042"/>
      <w:bookmarkStart w:id="2" w:name="_Toc4605"/>
      <w:r>
        <w:rPr>
          <w:rFonts w:ascii="宋体" w:hAnsi="宋体"/>
        </w:rPr>
        <w:t>附件</w:t>
      </w:r>
      <w:r>
        <w:rPr>
          <w:rFonts w:hint="eastAsia" w:ascii="宋体" w:hAnsi="宋体"/>
        </w:rPr>
        <w:t>1</w:t>
      </w:r>
      <w:r>
        <w:rPr>
          <w:rFonts w:ascii="宋体" w:hAnsi="宋体"/>
        </w:rPr>
        <w:t xml:space="preserve">  资格</w:t>
      </w:r>
      <w:r>
        <w:rPr>
          <w:rFonts w:hint="eastAsia" w:ascii="宋体" w:hAnsi="宋体"/>
        </w:rPr>
        <w:t>审查条件</w:t>
      </w:r>
      <w:bookmarkEnd w:id="0"/>
      <w:bookmarkEnd w:id="1"/>
      <w:bookmarkEnd w:id="2"/>
    </w:p>
    <w:p>
      <w:pPr>
        <w:rPr>
          <w:rFonts w:hint="eastAsia" w:ascii="宋体" w:hAnsi="宋体"/>
          <w:b/>
          <w:sz w:val="24"/>
        </w:rPr>
      </w:pPr>
    </w:p>
    <w:p>
      <w:pPr>
        <w:jc w:val="center"/>
        <w:rPr>
          <w:rStyle w:val="12"/>
          <w:rFonts w:ascii="宋体" w:hAnsi="宋体" w:eastAsia="宋体"/>
          <w:b/>
        </w:rPr>
      </w:pPr>
      <w:r>
        <w:rPr>
          <w:rStyle w:val="12"/>
          <w:rFonts w:hint="eastAsia" w:ascii="宋体" w:hAnsi="宋体" w:eastAsia="宋体"/>
          <w:b/>
        </w:rPr>
        <w:t>附录1  资格审查条件（资质最低条件）</w:t>
      </w:r>
    </w:p>
    <w:p>
      <w:pPr>
        <w:jc w:val="center"/>
        <w:rPr>
          <w:rStyle w:val="12"/>
          <w:rFonts w:ascii="宋体" w:hAnsi="宋体" w:eastAsia="宋体"/>
          <w:b/>
        </w:rPr>
      </w:pPr>
    </w:p>
    <w:tbl>
      <w:tblPr>
        <w:tblStyle w:val="10"/>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ind w:firstLine="283" w:firstLineChars="135"/>
              <w:jc w:val="left"/>
              <w:rPr>
                <w:rFonts w:hint="eastAsia" w:ascii="宋体" w:hAnsi="宋体"/>
              </w:rPr>
            </w:pPr>
            <w:r>
              <w:rPr>
                <w:rFonts w:hint="eastAsia" w:ascii="宋体" w:hAnsi="宋体"/>
              </w:rPr>
              <w:t>1、具有国内独立企业法人资格，持有有效的企业营业执照；</w:t>
            </w:r>
          </w:p>
          <w:p>
            <w:pPr>
              <w:ind w:firstLine="283" w:firstLineChars="135"/>
              <w:jc w:val="left"/>
              <w:rPr>
                <w:rFonts w:hint="eastAsia" w:ascii="宋体" w:hAnsi="宋体"/>
              </w:rPr>
            </w:pPr>
            <w:r>
              <w:rPr>
                <w:rFonts w:hint="eastAsia" w:ascii="宋体" w:hAnsi="宋体"/>
              </w:rPr>
              <w:t>2、</w:t>
            </w:r>
            <w:r>
              <w:rPr>
                <w:rFonts w:hint="eastAsia" w:ascii="宋体" w:hAnsi="宋体"/>
                <w:szCs w:val="21"/>
              </w:rPr>
              <w:t>具有中国证券监督管理委员会颁发的经营证券期货业务许可证。</w:t>
            </w:r>
          </w:p>
        </w:tc>
      </w:tr>
    </w:tbl>
    <w:p>
      <w:pPr>
        <w:jc w:val="center"/>
        <w:rPr>
          <w:rStyle w:val="13"/>
          <w:rFonts w:ascii="宋体" w:hAnsi="宋体" w:eastAsia="宋体"/>
          <w:b/>
        </w:rPr>
      </w:pPr>
    </w:p>
    <w:p>
      <w:pPr>
        <w:jc w:val="center"/>
        <w:rPr>
          <w:rStyle w:val="13"/>
          <w:rFonts w:ascii="宋体" w:hAnsi="宋体" w:eastAsia="宋体"/>
          <w:b/>
          <w:sz w:val="18"/>
          <w:szCs w:val="18"/>
        </w:rPr>
      </w:pPr>
      <w:r>
        <w:rPr>
          <w:rStyle w:val="13"/>
          <w:rFonts w:hint="eastAsia" w:ascii="宋体" w:hAnsi="宋体" w:eastAsia="宋体"/>
          <w:b/>
        </w:rPr>
        <w:t>附录</w:t>
      </w:r>
      <w:r>
        <w:rPr>
          <w:rStyle w:val="13"/>
          <w:rFonts w:ascii="宋体" w:hAnsi="宋体" w:eastAsia="宋体"/>
          <w:b/>
        </w:rPr>
        <w:t xml:space="preserve">2 </w:t>
      </w:r>
      <w:r>
        <w:rPr>
          <w:rStyle w:val="13"/>
          <w:rFonts w:hint="eastAsia" w:ascii="宋体" w:hAnsi="宋体" w:eastAsia="宋体"/>
          <w:b/>
        </w:rPr>
        <w:t xml:space="preserve"> 资格审查条件（</w:t>
      </w:r>
      <w:r>
        <w:rPr>
          <w:rFonts w:hint="eastAsia" w:ascii="宋体" w:hAnsi="宋体"/>
          <w:b/>
          <w:sz w:val="24"/>
        </w:rPr>
        <w:t>业绩最低条件</w:t>
      </w:r>
      <w:r>
        <w:rPr>
          <w:rStyle w:val="13"/>
          <w:rFonts w:hint="eastAsia" w:ascii="宋体" w:hAnsi="宋体" w:eastAsia="宋体"/>
          <w:b/>
        </w:rPr>
        <w:t>）</w:t>
      </w:r>
    </w:p>
    <w:p>
      <w:pPr>
        <w:rPr>
          <w:rFonts w:ascii="宋体" w:hAnsi="宋体"/>
          <w:b/>
          <w:sz w:val="18"/>
          <w:szCs w:val="18"/>
        </w:rPr>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22" w:type="dxa"/>
            <w:noWrap w:val="0"/>
            <w:vAlign w:val="center"/>
          </w:tcPr>
          <w:p>
            <w:pPr>
              <w:widowControl/>
              <w:ind w:firstLine="210" w:firstLineChars="100"/>
              <w:jc w:val="left"/>
              <w:rPr>
                <w:rFonts w:ascii="宋体" w:hAnsi="宋体"/>
                <w:szCs w:val="21"/>
              </w:rPr>
            </w:pPr>
            <w:r>
              <w:rPr>
                <w:rFonts w:hint="eastAsia" w:ascii="宋体" w:hAnsi="宋体"/>
                <w:szCs w:val="21"/>
              </w:rPr>
              <w:t>近3年内(2019年7月1日至今，以合同签订日期为准)至少成功服务过3单国有企业或同行业</w:t>
            </w:r>
            <w:r>
              <w:rPr>
                <w:rFonts w:hint="eastAsia" w:ascii="宋体" w:hAnsi="宋体"/>
                <w:spacing w:val="-2"/>
                <w:szCs w:val="21"/>
              </w:rPr>
              <w:t>资产证券化、再融资项目。</w:t>
            </w:r>
          </w:p>
        </w:tc>
      </w:tr>
    </w:tbl>
    <w:p>
      <w:pPr>
        <w:jc w:val="center"/>
        <w:rPr>
          <w:rFonts w:ascii="宋体" w:hAnsi="宋体"/>
          <w:b/>
          <w:sz w:val="24"/>
        </w:rPr>
      </w:pPr>
    </w:p>
    <w:p>
      <w:pPr>
        <w:jc w:val="center"/>
        <w:rPr>
          <w:rFonts w:hint="eastAsia" w:ascii="宋体" w:hAnsi="宋体"/>
          <w:b/>
          <w:sz w:val="24"/>
        </w:rPr>
      </w:pPr>
      <w:r>
        <w:rPr>
          <w:rFonts w:hint="eastAsia" w:ascii="宋体" w:hAnsi="宋体"/>
          <w:b/>
          <w:sz w:val="24"/>
        </w:rPr>
        <w:t>附录</w:t>
      </w:r>
      <w:r>
        <w:rPr>
          <w:rFonts w:ascii="宋体" w:hAnsi="宋体"/>
          <w:b/>
          <w:sz w:val="24"/>
        </w:rPr>
        <w:t>3</w:t>
      </w:r>
      <w:r>
        <w:rPr>
          <w:rFonts w:hint="eastAsia" w:ascii="宋体" w:hAnsi="宋体"/>
          <w:b/>
          <w:sz w:val="24"/>
        </w:rPr>
        <w:t xml:space="preserve">  资格审查条件（信誉最低条件）</w:t>
      </w:r>
    </w:p>
    <w:p>
      <w:pPr>
        <w:pStyle w:val="5"/>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343" w:type="dxa"/>
            <w:noWrap w:val="0"/>
            <w:vAlign w:val="center"/>
          </w:tcPr>
          <w:p>
            <w:pPr>
              <w:ind w:firstLine="420" w:firstLineChars="200"/>
              <w:jc w:val="left"/>
              <w:rPr>
                <w:rFonts w:ascii="宋体" w:hAnsi="宋体"/>
                <w:szCs w:val="21"/>
              </w:rPr>
            </w:pPr>
            <w:r>
              <w:rPr>
                <w:rFonts w:hint="eastAsia" w:ascii="宋体" w:hAnsi="宋体"/>
                <w:szCs w:val="21"/>
              </w:rPr>
              <w:t>投标人在近1年(2021年7月1日至今)中不曾在</w:t>
            </w:r>
            <w:r>
              <w:rPr>
                <w:rFonts w:hint="eastAsia" w:ascii="宋体" w:hAnsi="宋体"/>
                <w:spacing w:val="-2"/>
                <w:szCs w:val="21"/>
              </w:rPr>
              <w:t>资产证券化</w:t>
            </w:r>
            <w:r>
              <w:rPr>
                <w:rFonts w:hint="eastAsia" w:ascii="宋体" w:hAnsi="宋体"/>
                <w:szCs w:val="21"/>
              </w:rPr>
              <w:t>财务顾问合同中违约而被驱逐或因投标人自身的原因而使财务顾问合同被解除。</w:t>
            </w:r>
          </w:p>
        </w:tc>
      </w:tr>
    </w:tbl>
    <w:p>
      <w:pPr>
        <w:jc w:val="center"/>
        <w:rPr>
          <w:rFonts w:ascii="宋体" w:hAnsi="宋体"/>
          <w:b/>
          <w:sz w:val="24"/>
        </w:rPr>
      </w:pPr>
    </w:p>
    <w:p>
      <w:pPr>
        <w:jc w:val="center"/>
        <w:rPr>
          <w:rFonts w:hint="eastAsia" w:ascii="宋体" w:hAnsi="宋体"/>
          <w:b/>
          <w:sz w:val="24"/>
        </w:rPr>
      </w:pPr>
      <w:r>
        <w:rPr>
          <w:rFonts w:hint="eastAsia" w:ascii="宋体" w:hAnsi="宋体"/>
          <w:b/>
          <w:sz w:val="24"/>
        </w:rPr>
        <w:t>附录4  资格审查条件（项目负责人最低要求）</w:t>
      </w:r>
    </w:p>
    <w:p>
      <w:pPr>
        <w:pStyle w:val="5"/>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34"/>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89" w:type="dxa"/>
            <w:noWrap w:val="0"/>
            <w:vAlign w:val="center"/>
          </w:tcPr>
          <w:p>
            <w:pPr>
              <w:jc w:val="center"/>
              <w:rPr>
                <w:rFonts w:ascii="宋体" w:hAnsi="宋体"/>
                <w:szCs w:val="21"/>
              </w:rPr>
            </w:pPr>
            <w:r>
              <w:rPr>
                <w:rFonts w:hint="eastAsia" w:ascii="宋体" w:hAnsi="宋体"/>
                <w:szCs w:val="21"/>
              </w:rPr>
              <w:t>人员</w:t>
            </w:r>
          </w:p>
        </w:tc>
        <w:tc>
          <w:tcPr>
            <w:tcW w:w="1034" w:type="dxa"/>
            <w:noWrap w:val="0"/>
            <w:vAlign w:val="center"/>
          </w:tcPr>
          <w:p>
            <w:pPr>
              <w:jc w:val="center"/>
              <w:rPr>
                <w:rFonts w:hint="eastAsia" w:ascii="宋体" w:hAnsi="宋体"/>
                <w:szCs w:val="21"/>
              </w:rPr>
            </w:pPr>
            <w:r>
              <w:rPr>
                <w:rFonts w:hint="eastAsia" w:ascii="宋体" w:hAnsi="宋体"/>
                <w:szCs w:val="21"/>
              </w:rPr>
              <w:t>数量</w:t>
            </w:r>
          </w:p>
        </w:tc>
        <w:tc>
          <w:tcPr>
            <w:tcW w:w="6920" w:type="dxa"/>
            <w:noWrap w:val="0"/>
            <w:vAlign w:val="center"/>
          </w:tcPr>
          <w:p>
            <w:pPr>
              <w:jc w:val="center"/>
              <w:rPr>
                <w:rFonts w:hint="eastAsia"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389" w:type="dxa"/>
            <w:noWrap w:val="0"/>
            <w:vAlign w:val="center"/>
          </w:tcPr>
          <w:p>
            <w:pPr>
              <w:jc w:val="left"/>
              <w:rPr>
                <w:rFonts w:ascii="宋体" w:hAnsi="宋体"/>
                <w:szCs w:val="21"/>
              </w:rPr>
            </w:pPr>
            <w:r>
              <w:rPr>
                <w:rFonts w:hint="eastAsia" w:ascii="宋体" w:hAnsi="宋体"/>
                <w:szCs w:val="21"/>
              </w:rPr>
              <w:t>项目负责人</w:t>
            </w:r>
          </w:p>
        </w:tc>
        <w:tc>
          <w:tcPr>
            <w:tcW w:w="1034" w:type="dxa"/>
            <w:noWrap w:val="0"/>
            <w:vAlign w:val="center"/>
          </w:tcPr>
          <w:p>
            <w:pPr>
              <w:ind w:firstLine="420" w:firstLineChars="200"/>
              <w:jc w:val="left"/>
              <w:rPr>
                <w:rFonts w:hint="eastAsia" w:ascii="宋体" w:hAnsi="宋体"/>
                <w:szCs w:val="21"/>
              </w:rPr>
            </w:pPr>
            <w:r>
              <w:rPr>
                <w:rFonts w:hint="eastAsia" w:ascii="宋体" w:hAnsi="宋体"/>
                <w:szCs w:val="21"/>
              </w:rPr>
              <w:t>1</w:t>
            </w:r>
          </w:p>
        </w:tc>
        <w:tc>
          <w:tcPr>
            <w:tcW w:w="6920" w:type="dxa"/>
            <w:noWrap w:val="0"/>
            <w:vAlign w:val="center"/>
          </w:tcPr>
          <w:p>
            <w:pPr>
              <w:jc w:val="left"/>
              <w:rPr>
                <w:rFonts w:ascii="宋体" w:hAnsi="宋体"/>
                <w:szCs w:val="21"/>
              </w:rPr>
            </w:pPr>
            <w:r>
              <w:rPr>
                <w:rFonts w:hint="eastAsia" w:ascii="宋体" w:hAnsi="宋体"/>
                <w:szCs w:val="21"/>
              </w:rPr>
              <w:t>1、证券从业经验五年以上；2、具有注册会计师或律师职业资格；3、具有丰富项目经验。</w:t>
            </w:r>
          </w:p>
        </w:tc>
      </w:tr>
    </w:tbl>
    <w:p>
      <w:pPr>
        <w:rPr>
          <w:rFonts w:ascii="宋体" w:hAnsi="宋体"/>
          <w:b/>
          <w:sz w:val="24"/>
        </w:rPr>
      </w:pPr>
    </w:p>
    <w:p>
      <w:pPr>
        <w:tabs>
          <w:tab w:val="left" w:pos="3300"/>
        </w:tabs>
        <w:rPr>
          <w:rFonts w:ascii="宋体" w:hAnsi="宋体"/>
          <w:b/>
          <w:sz w:val="24"/>
        </w:rPr>
      </w:pPr>
    </w:p>
    <w:p>
      <w:pPr>
        <w:rPr>
          <w:rFonts w:ascii="宋体" w:hAnsi="宋体"/>
          <w:b/>
          <w:sz w:val="24"/>
        </w:rPr>
      </w:pPr>
    </w:p>
    <w:p>
      <w:pPr>
        <w:jc w:val="left"/>
        <w:rPr>
          <w:rFonts w:ascii="宋体" w:hAnsi="宋体"/>
          <w:b/>
          <w:bCs/>
        </w:rPr>
      </w:pPr>
      <w:r>
        <w:rPr>
          <w:rFonts w:ascii="宋体" w:hAnsi="宋体"/>
        </w:rPr>
        <w:br w:type="page"/>
      </w:r>
      <w:r>
        <w:rPr>
          <w:rFonts w:hint="eastAsia" w:ascii="宋体" w:hAnsi="宋体"/>
          <w:b/>
          <w:bCs/>
        </w:rPr>
        <w:t>附件2 评标办法</w:t>
      </w:r>
    </w:p>
    <w:p>
      <w:pPr>
        <w:snapToGrid w:val="0"/>
        <w:spacing w:line="360" w:lineRule="auto"/>
        <w:jc w:val="center"/>
        <w:rPr>
          <w:rFonts w:ascii="宋体" w:hAnsi="宋体"/>
          <w:b/>
          <w:color w:val="000000"/>
          <w:sz w:val="24"/>
        </w:rPr>
      </w:pPr>
      <w:r>
        <w:rPr>
          <w:rFonts w:hint="eastAsia" w:ascii="宋体" w:hAnsi="宋体"/>
          <w:b/>
          <w:color w:val="000000"/>
          <w:sz w:val="24"/>
        </w:rPr>
        <w:t>评标办法（综合评估法）</w:t>
      </w:r>
    </w:p>
    <w:p>
      <w:pPr>
        <w:autoSpaceDE w:val="0"/>
        <w:autoSpaceDN w:val="0"/>
        <w:adjustRightInd w:val="0"/>
        <w:snapToGrid w:val="0"/>
        <w:spacing w:line="360" w:lineRule="auto"/>
        <w:ind w:left="119" w:right="113"/>
        <w:jc w:val="left"/>
        <w:rPr>
          <w:rFonts w:ascii="宋体" w:hAnsi="宋体"/>
          <w:color w:val="000000"/>
        </w:rPr>
      </w:pPr>
      <w:r>
        <w:rPr>
          <w:rFonts w:hint="eastAsia" w:ascii="宋体" w:hAnsi="宋体"/>
          <w:color w:val="000000"/>
        </w:rPr>
        <w:t>评标办法前附表</w:t>
      </w:r>
    </w:p>
    <w:tbl>
      <w:tblPr>
        <w:tblStyle w:val="10"/>
        <w:tblW w:w="9209" w:type="dxa"/>
        <w:jc w:val="center"/>
        <w:tblLayout w:type="fixed"/>
        <w:tblCellMar>
          <w:top w:w="0" w:type="dxa"/>
          <w:left w:w="0" w:type="dxa"/>
          <w:bottom w:w="0" w:type="dxa"/>
          <w:right w:w="0" w:type="dxa"/>
        </w:tblCellMar>
      </w:tblPr>
      <w:tblGrid>
        <w:gridCol w:w="568"/>
        <w:gridCol w:w="40"/>
        <w:gridCol w:w="207"/>
        <w:gridCol w:w="881"/>
        <w:gridCol w:w="1096"/>
        <w:gridCol w:w="821"/>
        <w:gridCol w:w="5596"/>
      </w:tblGrid>
      <w:tr>
        <w:tblPrEx>
          <w:tblCellMar>
            <w:top w:w="0" w:type="dxa"/>
            <w:left w:w="0" w:type="dxa"/>
            <w:bottom w:w="0" w:type="dxa"/>
            <w:right w:w="0" w:type="dxa"/>
          </w:tblCellMar>
        </w:tblPrEx>
        <w:trPr>
          <w:jc w:val="center"/>
        </w:trPr>
        <w:tc>
          <w:tcPr>
            <w:tcW w:w="1696"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bookmarkStart w:id="3" w:name="_Hlk88125883"/>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r>
              <w:rPr>
                <w:rFonts w:hint="eastAsia" w:ascii="宋体" w:hAnsi="宋体" w:cs="宋体"/>
                <w:b/>
                <w:color w:val="000000"/>
                <w:kern w:val="0"/>
                <w:szCs w:val="21"/>
              </w:rPr>
              <w:t>评审因素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r>
              <w:rPr>
                <w:rFonts w:hint="eastAsia" w:ascii="宋体" w:hAnsi="宋体" w:cs="宋体"/>
                <w:b/>
                <w:color w:val="000000"/>
                <w:kern w:val="0"/>
                <w:szCs w:val="21"/>
              </w:rPr>
              <w:t>评审标准</w:t>
            </w:r>
          </w:p>
        </w:tc>
      </w:tr>
      <w:tr>
        <w:tblPrEx>
          <w:tblCellMar>
            <w:top w:w="0" w:type="dxa"/>
            <w:left w:w="0" w:type="dxa"/>
            <w:bottom w:w="0" w:type="dxa"/>
            <w:right w:w="0" w:type="dxa"/>
          </w:tblCellMar>
        </w:tblPrEx>
        <w:trPr>
          <w:trHeight w:val="90" w:hRule="atLeast"/>
          <w:jc w:val="center"/>
        </w:trPr>
        <w:tc>
          <w:tcPr>
            <w:tcW w:w="60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评标</w:t>
            </w:r>
            <w:r>
              <w:rPr>
                <w:rFonts w:hint="eastAsia" w:ascii="宋体" w:hAnsi="宋体" w:cs="宋体"/>
                <w:color w:val="000000"/>
                <w:spacing w:val="-2"/>
                <w:kern w:val="0"/>
                <w:szCs w:val="21"/>
              </w:rPr>
              <w:t>方</w:t>
            </w:r>
            <w:r>
              <w:rPr>
                <w:rFonts w:hint="eastAsia" w:ascii="宋体" w:hAnsi="宋体" w:cs="宋体"/>
                <w:color w:val="000000"/>
                <w:kern w:val="0"/>
                <w:szCs w:val="21"/>
              </w:rPr>
              <w:t>法</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中标</w:t>
            </w:r>
            <w:r>
              <w:rPr>
                <w:rFonts w:hint="eastAsia" w:ascii="宋体" w:hAnsi="宋体" w:cs="宋体"/>
                <w:color w:val="000000"/>
                <w:spacing w:val="-2"/>
                <w:kern w:val="0"/>
                <w:szCs w:val="21"/>
              </w:rPr>
              <w:t>候</w:t>
            </w:r>
            <w:r>
              <w:rPr>
                <w:rFonts w:hint="eastAsia" w:ascii="宋体" w:hAnsi="宋体" w:cs="宋体"/>
                <w:color w:val="000000"/>
                <w:kern w:val="0"/>
                <w:szCs w:val="21"/>
              </w:rPr>
              <w:t>选</w:t>
            </w:r>
            <w:r>
              <w:rPr>
                <w:rFonts w:hint="eastAsia" w:ascii="宋体" w:hAnsi="宋体" w:cs="宋体"/>
                <w:color w:val="000000"/>
                <w:spacing w:val="-2"/>
                <w:kern w:val="0"/>
                <w:szCs w:val="21"/>
              </w:rPr>
              <w:t>人</w:t>
            </w:r>
            <w:r>
              <w:rPr>
                <w:rFonts w:hint="eastAsia" w:ascii="宋体" w:hAnsi="宋体" w:cs="宋体"/>
                <w:color w:val="000000"/>
                <w:kern w:val="0"/>
                <w:szCs w:val="21"/>
              </w:rPr>
              <w:t>排</w:t>
            </w:r>
            <w:r>
              <w:rPr>
                <w:rFonts w:hint="eastAsia" w:ascii="宋体" w:hAnsi="宋体" w:cs="宋体"/>
                <w:color w:val="000000"/>
                <w:spacing w:val="-2"/>
                <w:kern w:val="0"/>
                <w:szCs w:val="21"/>
              </w:rPr>
              <w:t>序</w:t>
            </w:r>
            <w:r>
              <w:rPr>
                <w:rFonts w:hint="eastAsia" w:ascii="宋体" w:hAnsi="宋体" w:cs="宋体"/>
                <w:color w:val="000000"/>
                <w:kern w:val="0"/>
                <w:szCs w:val="21"/>
              </w:rPr>
              <w:t>方法</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pStyle w:val="9"/>
              <w:snapToGrid w:val="0"/>
              <w:spacing w:line="300" w:lineRule="exact"/>
              <w:ind w:left="0" w:firstLine="0" w:firstLineChars="0"/>
              <w:jc w:val="left"/>
              <w:rPr>
                <w:rFonts w:hint="eastAsia" w:cs="宋体"/>
                <w:sz w:val="21"/>
                <w:szCs w:val="21"/>
              </w:rPr>
            </w:pPr>
            <w:r>
              <w:rPr>
                <w:rFonts w:hint="eastAsia" w:cs="宋体"/>
                <w:sz w:val="21"/>
                <w:szCs w:val="21"/>
              </w:rPr>
              <w:t>本条细化为：</w:t>
            </w:r>
          </w:p>
          <w:p>
            <w:pPr>
              <w:pStyle w:val="9"/>
              <w:snapToGrid w:val="0"/>
              <w:spacing w:line="300" w:lineRule="exact"/>
              <w:ind w:left="0" w:firstLine="0" w:firstLineChars="0"/>
              <w:jc w:val="left"/>
              <w:rPr>
                <w:rFonts w:hint="eastAsia" w:cs="宋体"/>
                <w:sz w:val="21"/>
                <w:szCs w:val="21"/>
              </w:rPr>
            </w:pPr>
            <w:r>
              <w:rPr>
                <w:rFonts w:hint="eastAsia" w:cs="宋体"/>
                <w:sz w:val="21"/>
                <w:szCs w:val="21"/>
              </w:rPr>
              <w:t>本次评标采用综合评估法。评标委员会对满足招标文件实质性要求的投标文件，分别按照本章第2.2款规定的评分标准进行打分，并按综合得分由高到低顺序推荐1-3名中标候选人。综合得分相等时，评标委员会依次按照以下有限顺序推荐中标候选人：</w:t>
            </w:r>
          </w:p>
          <w:p>
            <w:pPr>
              <w:pStyle w:val="9"/>
              <w:snapToGrid w:val="0"/>
              <w:spacing w:line="300" w:lineRule="exact"/>
              <w:ind w:left="0" w:firstLine="0" w:firstLineChars="0"/>
              <w:jc w:val="left"/>
              <w:rPr>
                <w:rFonts w:hint="eastAsia" w:cs="宋体"/>
                <w:sz w:val="21"/>
                <w:szCs w:val="21"/>
              </w:rPr>
            </w:pPr>
            <w:r>
              <w:rPr>
                <w:rFonts w:hint="eastAsia" w:cs="宋体"/>
                <w:sz w:val="21"/>
                <w:szCs w:val="21"/>
              </w:rPr>
              <w:t xml:space="preserve">(1)评标价低的投标人优先； </w:t>
            </w:r>
          </w:p>
          <w:p>
            <w:pPr>
              <w:pStyle w:val="9"/>
              <w:snapToGrid w:val="0"/>
              <w:spacing w:line="300" w:lineRule="exact"/>
              <w:ind w:left="0" w:firstLine="0" w:firstLineChars="0"/>
              <w:jc w:val="left"/>
              <w:rPr>
                <w:rFonts w:hint="eastAsia" w:cs="宋体"/>
                <w:sz w:val="21"/>
                <w:szCs w:val="21"/>
              </w:rPr>
            </w:pPr>
            <w:r>
              <w:rPr>
                <w:rFonts w:hint="eastAsia" w:cs="宋体"/>
                <w:sz w:val="21"/>
                <w:szCs w:val="21"/>
              </w:rPr>
              <w:t>(2)技术得分高的投标人优先；</w:t>
            </w:r>
          </w:p>
          <w:p>
            <w:pPr>
              <w:pStyle w:val="9"/>
              <w:snapToGrid w:val="0"/>
              <w:spacing w:line="300" w:lineRule="exact"/>
              <w:ind w:left="0" w:firstLine="0" w:firstLineChars="0"/>
              <w:jc w:val="left"/>
              <w:rPr>
                <w:rFonts w:hint="eastAsia" w:cs="宋体"/>
                <w:sz w:val="21"/>
                <w:szCs w:val="21"/>
              </w:rPr>
            </w:pPr>
            <w:r>
              <w:rPr>
                <w:rFonts w:hint="eastAsia" w:cs="宋体"/>
                <w:sz w:val="21"/>
                <w:szCs w:val="21"/>
              </w:rPr>
              <w:t>(3)满足招标文件“投标人须知”附录2要求的类似业绩累计个数多的投标人优先。</w:t>
            </w:r>
          </w:p>
        </w:tc>
      </w:tr>
      <w:tr>
        <w:tblPrEx>
          <w:tblCellMar>
            <w:top w:w="0" w:type="dxa"/>
            <w:left w:w="0" w:type="dxa"/>
            <w:bottom w:w="0" w:type="dxa"/>
            <w:right w:w="0" w:type="dxa"/>
          </w:tblCellMar>
        </w:tblPrEx>
        <w:trPr>
          <w:trHeight w:val="395" w:hRule="atLeast"/>
          <w:jc w:val="center"/>
        </w:trPr>
        <w:tc>
          <w:tcPr>
            <w:tcW w:w="9209"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rPr>
                <w:rFonts w:hint="eastAsia" w:ascii="宋体" w:hAnsi="宋体" w:cs="宋体"/>
                <w:color w:val="000000"/>
                <w:kern w:val="0"/>
                <w:szCs w:val="21"/>
              </w:rPr>
            </w:pPr>
            <w:r>
              <w:rPr>
                <w:rFonts w:hint="eastAsia" w:ascii="宋体" w:hAnsi="宋体" w:cs="宋体"/>
                <w:b/>
                <w:color w:val="000000"/>
                <w:szCs w:val="21"/>
              </w:rPr>
              <w:t>第一个信封（商务及技术文件）初步评审标准</w:t>
            </w:r>
          </w:p>
        </w:tc>
      </w:tr>
      <w:tr>
        <w:tblPrEx>
          <w:tblCellMar>
            <w:top w:w="0" w:type="dxa"/>
            <w:left w:w="0" w:type="dxa"/>
            <w:bottom w:w="0" w:type="dxa"/>
            <w:right w:w="0" w:type="dxa"/>
          </w:tblCellMar>
        </w:tblPrEx>
        <w:trPr>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2.1.1</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形式</w:t>
            </w:r>
            <w:r>
              <w:rPr>
                <w:rFonts w:hint="eastAsia" w:ascii="宋体" w:hAnsi="宋体" w:cs="宋体"/>
                <w:color w:val="000000"/>
                <w:spacing w:val="-2"/>
                <w:kern w:val="0"/>
                <w:szCs w:val="21"/>
              </w:rPr>
              <w:t>评</w:t>
            </w:r>
            <w:r>
              <w:rPr>
                <w:rFonts w:hint="eastAsia" w:ascii="宋体" w:hAnsi="宋体" w:cs="宋体"/>
                <w:color w:val="000000"/>
                <w:kern w:val="0"/>
                <w:szCs w:val="21"/>
              </w:rPr>
              <w:t>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人</w:t>
            </w:r>
            <w:r>
              <w:rPr>
                <w:rFonts w:hint="eastAsia" w:ascii="宋体" w:hAnsi="宋体" w:cs="宋体"/>
                <w:color w:val="000000"/>
                <w:kern w:val="0"/>
                <w:szCs w:val="21"/>
              </w:rPr>
              <w:t>名称</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与</w:t>
            </w:r>
            <w:r>
              <w:rPr>
                <w:rFonts w:hint="eastAsia" w:ascii="宋体" w:hAnsi="宋体" w:cs="宋体"/>
                <w:color w:val="000000"/>
                <w:spacing w:val="-2"/>
                <w:kern w:val="0"/>
                <w:szCs w:val="21"/>
              </w:rPr>
              <w:t>营</w:t>
            </w:r>
            <w:r>
              <w:rPr>
                <w:rFonts w:hint="eastAsia" w:ascii="宋体" w:hAnsi="宋体" w:cs="宋体"/>
                <w:color w:val="000000"/>
                <w:kern w:val="0"/>
                <w:szCs w:val="21"/>
              </w:rPr>
              <w:t>业</w:t>
            </w:r>
            <w:r>
              <w:rPr>
                <w:rFonts w:hint="eastAsia" w:ascii="宋体" w:hAnsi="宋体" w:cs="宋体"/>
                <w:color w:val="000000"/>
                <w:spacing w:val="-2"/>
                <w:kern w:val="0"/>
                <w:szCs w:val="21"/>
              </w:rPr>
              <w:t>执</w:t>
            </w:r>
            <w:r>
              <w:rPr>
                <w:rFonts w:hint="eastAsia" w:ascii="宋体" w:hAnsi="宋体" w:cs="宋体"/>
                <w:color w:val="000000"/>
                <w:kern w:val="0"/>
                <w:szCs w:val="21"/>
              </w:rPr>
              <w:t>照一致</w:t>
            </w:r>
          </w:p>
        </w:tc>
      </w:tr>
      <w:tr>
        <w:tblPrEx>
          <w:tblCellMar>
            <w:top w:w="0" w:type="dxa"/>
            <w:left w:w="0" w:type="dxa"/>
            <w:bottom w:w="0" w:type="dxa"/>
            <w:right w:w="0" w:type="dxa"/>
          </w:tblCellMar>
        </w:tblPrEx>
        <w:trPr>
          <w:trHeight w:val="90" w:hRule="atLeas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投标文件签</w:t>
            </w:r>
            <w:r>
              <w:rPr>
                <w:rFonts w:hint="eastAsia" w:ascii="宋体" w:hAnsi="宋体" w:cs="宋体"/>
                <w:color w:val="000000"/>
                <w:spacing w:val="-2"/>
                <w:kern w:val="0"/>
                <w:szCs w:val="21"/>
              </w:rPr>
              <w:t>字</w:t>
            </w:r>
            <w:r>
              <w:rPr>
                <w:rFonts w:hint="eastAsia" w:ascii="宋体" w:hAnsi="宋体" w:cs="宋体"/>
                <w:color w:val="000000"/>
                <w:kern w:val="0"/>
                <w:szCs w:val="21"/>
              </w:rPr>
              <w:t>盖章</w:t>
            </w:r>
          </w:p>
        </w:tc>
        <w:tc>
          <w:tcPr>
            <w:tcW w:w="559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3.7.3</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文</w:t>
            </w:r>
            <w:r>
              <w:rPr>
                <w:rFonts w:hint="eastAsia" w:ascii="宋体" w:hAnsi="宋体" w:cs="宋体"/>
                <w:color w:val="000000"/>
                <w:kern w:val="0"/>
                <w:szCs w:val="21"/>
              </w:rPr>
              <w:t>件</w:t>
            </w:r>
            <w:r>
              <w:rPr>
                <w:rFonts w:hint="eastAsia" w:ascii="宋体" w:hAnsi="宋体" w:cs="宋体"/>
                <w:color w:val="000000"/>
                <w:spacing w:val="-2"/>
                <w:kern w:val="0"/>
                <w:szCs w:val="21"/>
              </w:rPr>
              <w:t>格</w:t>
            </w:r>
            <w:r>
              <w:rPr>
                <w:rFonts w:hint="eastAsia" w:ascii="宋体" w:hAnsi="宋体" w:cs="宋体"/>
                <w:color w:val="000000"/>
                <w:kern w:val="0"/>
                <w:szCs w:val="21"/>
              </w:rPr>
              <w:t>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left"/>
              <w:rPr>
                <w:rFonts w:hint="eastAsia" w:ascii="宋体" w:hAnsi="宋体" w:cs="宋体"/>
                <w:color w:val="000000"/>
                <w:kern w:val="0"/>
                <w:szCs w:val="21"/>
              </w:rPr>
            </w:pPr>
            <w:r>
              <w:rPr>
                <w:rFonts w:hint="eastAsia" w:ascii="宋体" w:hAnsi="宋体" w:cs="宋体"/>
                <w:color w:val="000000"/>
                <w:szCs w:val="21"/>
              </w:rPr>
              <w:t>符合第六章“投标文件格式”的规定，组成齐全完整</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分包</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spacing w:val="2"/>
                <w:kern w:val="0"/>
                <w:szCs w:val="21"/>
              </w:rPr>
            </w:pPr>
            <w:r>
              <w:rPr>
                <w:rFonts w:hint="eastAsia" w:ascii="宋体" w:hAnsi="宋体" w:cs="宋体"/>
                <w:color w:val="000000"/>
                <w:spacing w:val="2"/>
                <w:kern w:val="0"/>
                <w:szCs w:val="21"/>
              </w:rPr>
              <w:t>投标人未对本项目提出分包计划</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联合</w:t>
            </w:r>
            <w:r>
              <w:rPr>
                <w:rFonts w:hint="eastAsia" w:ascii="宋体" w:hAnsi="宋体" w:cs="宋体"/>
                <w:color w:val="000000"/>
                <w:spacing w:val="-2"/>
                <w:kern w:val="0"/>
                <w:szCs w:val="21"/>
              </w:rPr>
              <w:t>体</w:t>
            </w:r>
            <w:r>
              <w:rPr>
                <w:rFonts w:hint="eastAsia" w:ascii="宋体" w:hAnsi="宋体" w:cs="宋体"/>
                <w:color w:val="000000"/>
                <w:kern w:val="0"/>
                <w:szCs w:val="21"/>
              </w:rPr>
              <w:t>投</w:t>
            </w:r>
            <w:r>
              <w:rPr>
                <w:rFonts w:hint="eastAsia" w:ascii="宋体" w:hAnsi="宋体" w:cs="宋体"/>
                <w:color w:val="000000"/>
                <w:spacing w:val="-2"/>
                <w:kern w:val="0"/>
                <w:szCs w:val="21"/>
              </w:rPr>
              <w:t>标</w:t>
            </w:r>
            <w:r>
              <w:rPr>
                <w:rFonts w:hint="eastAsia" w:ascii="宋体" w:hAnsi="宋体" w:cs="宋体"/>
                <w:color w:val="000000"/>
                <w:kern w:val="0"/>
                <w:szCs w:val="21"/>
              </w:rPr>
              <w:t>人</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spacing w:val="2"/>
                <w:kern w:val="0"/>
                <w:szCs w:val="21"/>
              </w:rPr>
              <w:t>投标人未以联合体形式投标</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备选</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方案</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投标人未提交备选投标方案</w:t>
            </w:r>
          </w:p>
        </w:tc>
      </w:tr>
      <w:tr>
        <w:tblPrEx>
          <w:tblCellMar>
            <w:top w:w="0" w:type="dxa"/>
            <w:left w:w="0" w:type="dxa"/>
            <w:bottom w:w="0" w:type="dxa"/>
            <w:right w:w="0" w:type="dxa"/>
          </w:tblCellMar>
        </w:tblPrEx>
        <w:trPr>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2.1.2</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资格</w:t>
            </w:r>
            <w:r>
              <w:rPr>
                <w:rFonts w:hint="eastAsia" w:ascii="宋体" w:hAnsi="宋体" w:cs="宋体"/>
                <w:color w:val="000000"/>
                <w:spacing w:val="-2"/>
                <w:kern w:val="0"/>
                <w:szCs w:val="21"/>
              </w:rPr>
              <w:t>评</w:t>
            </w:r>
            <w:r>
              <w:rPr>
                <w:rFonts w:hint="eastAsia" w:ascii="宋体" w:hAnsi="宋体" w:cs="宋体"/>
                <w:color w:val="000000"/>
                <w:kern w:val="0"/>
                <w:szCs w:val="21"/>
              </w:rPr>
              <w:t>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营业</w:t>
            </w:r>
            <w:r>
              <w:rPr>
                <w:rFonts w:hint="eastAsia" w:ascii="宋体" w:hAnsi="宋体" w:cs="宋体"/>
                <w:color w:val="000000"/>
                <w:spacing w:val="-2"/>
                <w:kern w:val="0"/>
                <w:szCs w:val="21"/>
              </w:rPr>
              <w:t>执</w:t>
            </w:r>
            <w:r>
              <w:rPr>
                <w:rFonts w:hint="eastAsia" w:ascii="宋体" w:hAnsi="宋体" w:cs="宋体"/>
                <w:color w:val="000000"/>
                <w:kern w:val="0"/>
                <w:szCs w:val="21"/>
              </w:rPr>
              <w:t>照和基本账户开户许可证</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3.5</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w:t>
            </w:r>
            <w:r>
              <w:rPr>
                <w:rFonts w:hint="eastAsia" w:ascii="宋体" w:hAnsi="宋体" w:cs="宋体"/>
                <w:color w:val="000000"/>
                <w:spacing w:val="-2"/>
                <w:kern w:val="0"/>
                <w:szCs w:val="21"/>
              </w:rPr>
              <w:t>定</w:t>
            </w:r>
            <w:r>
              <w:rPr>
                <w:rFonts w:hint="eastAsia" w:ascii="宋体" w:hAnsi="宋体" w:cs="宋体"/>
                <w:color w:val="000000"/>
                <w:spacing w:val="-29"/>
                <w:kern w:val="0"/>
                <w:szCs w:val="21"/>
              </w:rPr>
              <w:t>，</w:t>
            </w:r>
            <w:r>
              <w:rPr>
                <w:rFonts w:hint="eastAsia" w:ascii="宋体" w:hAnsi="宋体" w:cs="宋体"/>
                <w:color w:val="000000"/>
                <w:kern w:val="0"/>
                <w:szCs w:val="21"/>
              </w:rPr>
              <w:t>具</w:t>
            </w:r>
            <w:r>
              <w:rPr>
                <w:rFonts w:hint="eastAsia" w:ascii="宋体" w:hAnsi="宋体" w:cs="宋体"/>
                <w:color w:val="000000"/>
                <w:spacing w:val="-2"/>
                <w:kern w:val="0"/>
                <w:szCs w:val="21"/>
              </w:rPr>
              <w:t>备</w:t>
            </w:r>
            <w:r>
              <w:rPr>
                <w:rFonts w:hint="eastAsia" w:ascii="宋体" w:hAnsi="宋体" w:cs="宋体"/>
                <w:color w:val="000000"/>
                <w:kern w:val="0"/>
                <w:szCs w:val="21"/>
              </w:rPr>
              <w:t>有效的</w:t>
            </w:r>
            <w:r>
              <w:rPr>
                <w:rFonts w:hint="eastAsia" w:ascii="宋体" w:hAnsi="宋体" w:cs="宋体"/>
                <w:color w:val="000000"/>
                <w:spacing w:val="-2"/>
                <w:kern w:val="0"/>
                <w:szCs w:val="21"/>
              </w:rPr>
              <w:t>营</w:t>
            </w:r>
            <w:r>
              <w:rPr>
                <w:rFonts w:hint="eastAsia" w:ascii="宋体" w:hAnsi="宋体" w:cs="宋体"/>
                <w:color w:val="000000"/>
                <w:kern w:val="0"/>
                <w:szCs w:val="21"/>
              </w:rPr>
              <w:t>业</w:t>
            </w:r>
            <w:r>
              <w:rPr>
                <w:rFonts w:hint="eastAsia" w:ascii="宋体" w:hAnsi="宋体" w:cs="宋体"/>
                <w:color w:val="000000"/>
                <w:spacing w:val="-2"/>
                <w:kern w:val="0"/>
                <w:szCs w:val="21"/>
              </w:rPr>
              <w:t>执</w:t>
            </w:r>
            <w:r>
              <w:rPr>
                <w:rFonts w:hint="eastAsia" w:ascii="宋体" w:hAnsi="宋体" w:cs="宋体"/>
                <w:color w:val="000000"/>
                <w:kern w:val="0"/>
                <w:szCs w:val="21"/>
              </w:rPr>
              <w:t>照和基本账户开户许可证（或基本存款账户信息）。</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资质</w:t>
            </w:r>
            <w:r>
              <w:rPr>
                <w:rFonts w:hint="eastAsia" w:ascii="宋体" w:hAnsi="宋体" w:cs="宋体"/>
                <w:color w:val="000000"/>
                <w:spacing w:val="-2"/>
                <w:kern w:val="0"/>
                <w:szCs w:val="21"/>
              </w:rPr>
              <w:t>要</w:t>
            </w:r>
            <w:r>
              <w:rPr>
                <w:rFonts w:hint="eastAsia" w:ascii="宋体" w:hAnsi="宋体" w:cs="宋体"/>
                <w:color w:val="000000"/>
                <w:kern w:val="0"/>
                <w:szCs w:val="21"/>
              </w:rPr>
              <w:t>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业绩要求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信誉</w:t>
            </w:r>
            <w:r>
              <w:rPr>
                <w:rFonts w:hint="eastAsia" w:ascii="宋体" w:hAnsi="宋体" w:cs="宋体"/>
                <w:color w:val="000000"/>
                <w:spacing w:val="-2"/>
                <w:kern w:val="0"/>
                <w:szCs w:val="21"/>
              </w:rPr>
              <w:t>要</w:t>
            </w:r>
            <w:r>
              <w:rPr>
                <w:rFonts w:hint="eastAsia" w:ascii="宋体" w:hAnsi="宋体" w:cs="宋体"/>
                <w:color w:val="000000"/>
                <w:kern w:val="0"/>
                <w:szCs w:val="21"/>
              </w:rPr>
              <w:t>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项目负责人资格要求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53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联合体投标人</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符合第二章“投标人须知”第 1.4.2 项规定</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不存在禁止投标的情形</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不存在第二章“投标人须知”第 1.4.3 项规定的任何一种情形</w:t>
            </w:r>
          </w:p>
        </w:tc>
      </w:tr>
      <w:tr>
        <w:tblPrEx>
          <w:tblCellMar>
            <w:top w:w="0" w:type="dxa"/>
            <w:left w:w="0" w:type="dxa"/>
            <w:bottom w:w="0" w:type="dxa"/>
            <w:right w:w="0" w:type="dxa"/>
          </w:tblCellMar>
        </w:tblPrEx>
        <w:trPr>
          <w:trHeight w:val="428" w:hRule="exact"/>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2.1.3</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响应性评审标准</w:t>
            </w:r>
          </w:p>
        </w:tc>
        <w:tc>
          <w:tcPr>
            <w:tcW w:w="1917" w:type="dxa"/>
            <w:gridSpan w:val="2"/>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内</w:t>
            </w:r>
            <w:r>
              <w:rPr>
                <w:rFonts w:hint="eastAsia" w:ascii="宋体" w:hAnsi="宋体" w:cs="宋体"/>
                <w:color w:val="000000"/>
                <w:kern w:val="0"/>
                <w:szCs w:val="21"/>
              </w:rPr>
              <w:t>容</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1.3</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服务期</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符合第二章“投标人须知”第 1.3.2 项规定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有</w:t>
            </w:r>
            <w:r>
              <w:rPr>
                <w:rFonts w:hint="eastAsia" w:ascii="宋体" w:hAnsi="宋体" w:cs="宋体"/>
                <w:color w:val="000000"/>
                <w:kern w:val="0"/>
                <w:szCs w:val="21"/>
              </w:rPr>
              <w:t>效期</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 xml:space="preserve">” </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3.3</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00" w:hRule="atLeas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权利</w:t>
            </w:r>
            <w:r>
              <w:rPr>
                <w:rFonts w:hint="eastAsia" w:ascii="宋体" w:hAnsi="宋体" w:cs="宋体"/>
                <w:color w:val="000000"/>
                <w:spacing w:val="-2"/>
                <w:kern w:val="0"/>
                <w:szCs w:val="21"/>
              </w:rPr>
              <w:t>义</w:t>
            </w:r>
            <w:r>
              <w:rPr>
                <w:rFonts w:hint="eastAsia" w:ascii="宋体" w:hAnsi="宋体" w:cs="宋体"/>
                <w:color w:val="000000"/>
                <w:kern w:val="0"/>
                <w:szCs w:val="21"/>
              </w:rPr>
              <w:t>务</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34"/>
                <w:kern w:val="0"/>
                <w:szCs w:val="21"/>
              </w:rPr>
              <w:t xml:space="preserve"> </w:t>
            </w:r>
            <w:r>
              <w:rPr>
                <w:rFonts w:hint="eastAsia" w:ascii="宋体" w:hAnsi="宋体" w:cs="宋体"/>
                <w:color w:val="000000"/>
                <w:kern w:val="0"/>
                <w:szCs w:val="21"/>
              </w:rPr>
              <w:t>1</w:t>
            </w:r>
            <w:r>
              <w:rPr>
                <w:rFonts w:hint="eastAsia" w:ascii="宋体" w:hAnsi="宋体" w:cs="宋体"/>
                <w:color w:val="000000"/>
                <w:spacing w:val="-2"/>
                <w:kern w:val="0"/>
                <w:szCs w:val="21"/>
              </w:rPr>
              <w:t>.</w:t>
            </w:r>
            <w:r>
              <w:rPr>
                <w:rFonts w:hint="eastAsia" w:ascii="宋体" w:hAnsi="宋体" w:cs="宋体"/>
                <w:color w:val="000000"/>
                <w:spacing w:val="-7"/>
                <w:kern w:val="0"/>
                <w:szCs w:val="21"/>
              </w:rPr>
              <w:t>1</w:t>
            </w:r>
            <w:r>
              <w:rPr>
                <w:rFonts w:hint="eastAsia" w:ascii="宋体" w:hAnsi="宋体" w:cs="宋体"/>
                <w:color w:val="000000"/>
                <w:kern w:val="0"/>
                <w:szCs w:val="21"/>
              </w:rPr>
              <w:t>2</w:t>
            </w:r>
            <w:r>
              <w:rPr>
                <w:rFonts w:hint="eastAsia" w:ascii="宋体" w:hAnsi="宋体" w:cs="宋体"/>
                <w:color w:val="000000"/>
                <w:spacing w:val="-2"/>
                <w:kern w:val="0"/>
                <w:szCs w:val="21"/>
              </w:rPr>
              <w:t>.</w:t>
            </w:r>
            <w:r>
              <w:rPr>
                <w:rFonts w:hint="eastAsia" w:ascii="宋体" w:hAnsi="宋体" w:cs="宋体"/>
                <w:color w:val="000000"/>
                <w:kern w:val="0"/>
                <w:szCs w:val="21"/>
              </w:rPr>
              <w:t>1</w:t>
            </w:r>
            <w:r>
              <w:rPr>
                <w:rFonts w:hint="eastAsia" w:ascii="宋体" w:hAnsi="宋体" w:cs="宋体"/>
                <w:color w:val="000000"/>
                <w:spacing w:val="44"/>
                <w:kern w:val="0"/>
                <w:szCs w:val="21"/>
              </w:rPr>
              <w:t xml:space="preserve"> </w:t>
            </w:r>
            <w:r>
              <w:rPr>
                <w:rFonts w:hint="eastAsia" w:ascii="宋体" w:hAnsi="宋体" w:cs="宋体"/>
                <w:color w:val="000000"/>
                <w:spacing w:val="-2"/>
                <w:kern w:val="0"/>
                <w:szCs w:val="21"/>
              </w:rPr>
              <w:t>项</w:t>
            </w:r>
            <w:r>
              <w:rPr>
                <w:rFonts w:hint="eastAsia" w:ascii="宋体" w:hAnsi="宋体" w:cs="宋体"/>
                <w:color w:val="000000"/>
                <w:kern w:val="0"/>
                <w:szCs w:val="21"/>
              </w:rPr>
              <w:t>规</w:t>
            </w:r>
            <w:r>
              <w:rPr>
                <w:rFonts w:hint="eastAsia" w:ascii="宋体" w:hAnsi="宋体" w:cs="宋体"/>
                <w:color w:val="000000"/>
                <w:spacing w:val="-2"/>
                <w:kern w:val="0"/>
                <w:szCs w:val="21"/>
              </w:rPr>
              <w:t>定</w:t>
            </w:r>
          </w:p>
        </w:tc>
      </w:tr>
      <w:tr>
        <w:tblPrEx>
          <w:tblCellMar>
            <w:top w:w="0" w:type="dxa"/>
            <w:left w:w="0" w:type="dxa"/>
            <w:bottom w:w="0" w:type="dxa"/>
            <w:right w:w="0" w:type="dxa"/>
          </w:tblCellMar>
        </w:tblPrEx>
        <w:trPr>
          <w:trHeight w:val="592"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实施方案</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五</w:t>
            </w:r>
            <w:r>
              <w:rPr>
                <w:rFonts w:hint="eastAsia" w:ascii="宋体" w:hAnsi="宋体" w:cs="宋体"/>
                <w:color w:val="000000"/>
                <w:spacing w:val="-2"/>
                <w:kern w:val="0"/>
                <w:szCs w:val="21"/>
              </w:rPr>
              <w:t>章</w:t>
            </w:r>
            <w:r>
              <w:rPr>
                <w:rFonts w:hint="eastAsia" w:ascii="宋体" w:hAnsi="宋体" w:cs="宋体"/>
                <w:color w:val="000000"/>
                <w:kern w:val="0"/>
                <w:szCs w:val="21"/>
              </w:rPr>
              <w:t>“发包人要求</w:t>
            </w:r>
            <w:r>
              <w:rPr>
                <w:rFonts w:hint="eastAsia" w:ascii="宋体" w:hAnsi="宋体" w:cs="宋体"/>
                <w:color w:val="000000"/>
                <w:spacing w:val="-3"/>
                <w:kern w:val="0"/>
                <w:szCs w:val="21"/>
              </w:rPr>
              <w:t>”中</w:t>
            </w:r>
            <w:r>
              <w:rPr>
                <w:rFonts w:hint="eastAsia" w:ascii="宋体" w:hAnsi="宋体" w:cs="宋体"/>
                <w:color w:val="000000"/>
                <w:kern w:val="0"/>
                <w:szCs w:val="21"/>
              </w:rPr>
              <w:t>的实</w:t>
            </w:r>
            <w:r>
              <w:rPr>
                <w:rFonts w:hint="eastAsia" w:ascii="宋体" w:hAnsi="宋体" w:cs="宋体"/>
                <w:color w:val="000000"/>
                <w:spacing w:val="-2"/>
                <w:kern w:val="0"/>
                <w:szCs w:val="21"/>
              </w:rPr>
              <w:t>质</w:t>
            </w:r>
            <w:r>
              <w:rPr>
                <w:rFonts w:hint="eastAsia" w:ascii="宋体" w:hAnsi="宋体" w:cs="宋体"/>
                <w:color w:val="000000"/>
                <w:kern w:val="0"/>
                <w:szCs w:val="21"/>
              </w:rPr>
              <w:t>性</w:t>
            </w:r>
            <w:r>
              <w:rPr>
                <w:rFonts w:hint="eastAsia" w:ascii="宋体" w:hAnsi="宋体" w:cs="宋体"/>
                <w:color w:val="000000"/>
                <w:spacing w:val="-2"/>
                <w:kern w:val="0"/>
                <w:szCs w:val="21"/>
              </w:rPr>
              <w:t>要</w:t>
            </w:r>
            <w:r>
              <w:rPr>
                <w:rFonts w:hint="eastAsia" w:ascii="宋体" w:hAnsi="宋体" w:cs="宋体"/>
                <w:color w:val="000000"/>
                <w:kern w:val="0"/>
                <w:szCs w:val="21"/>
              </w:rPr>
              <w:t>求</w:t>
            </w:r>
            <w:r>
              <w:rPr>
                <w:rFonts w:hint="eastAsia" w:ascii="宋体" w:hAnsi="宋体" w:cs="宋体"/>
                <w:color w:val="000000"/>
                <w:spacing w:val="-2"/>
                <w:kern w:val="0"/>
                <w:szCs w:val="21"/>
              </w:rPr>
              <w:t>和</w:t>
            </w:r>
            <w:r>
              <w:rPr>
                <w:rFonts w:hint="eastAsia" w:ascii="宋体" w:hAnsi="宋体" w:cs="宋体"/>
                <w:color w:val="000000"/>
                <w:kern w:val="0"/>
                <w:szCs w:val="21"/>
              </w:rPr>
              <w:t>条件</w:t>
            </w:r>
          </w:p>
        </w:tc>
      </w:tr>
      <w:tr>
        <w:tblPrEx>
          <w:tblCellMar>
            <w:top w:w="0" w:type="dxa"/>
            <w:left w:w="0" w:type="dxa"/>
            <w:bottom w:w="0" w:type="dxa"/>
            <w:right w:w="0" w:type="dxa"/>
          </w:tblCellMar>
        </w:tblPrEx>
        <w:trPr>
          <w:trHeight w:val="460" w:hRule="atLeast"/>
          <w:jc w:val="center"/>
        </w:trPr>
        <w:tc>
          <w:tcPr>
            <w:tcW w:w="9209" w:type="dxa"/>
            <w:gridSpan w:val="7"/>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left"/>
              <w:rPr>
                <w:rFonts w:hint="eastAsia" w:ascii="宋体" w:hAnsi="宋体" w:cs="宋体"/>
                <w:b/>
                <w:color w:val="000000"/>
                <w:kern w:val="0"/>
                <w:szCs w:val="21"/>
              </w:rPr>
            </w:pPr>
            <w:r>
              <w:rPr>
                <w:rFonts w:hint="eastAsia" w:ascii="宋体" w:hAnsi="宋体" w:cs="宋体"/>
                <w:b/>
                <w:color w:val="000000"/>
                <w:szCs w:val="21"/>
              </w:rPr>
              <w:t>第二个信封（报价文件）初步评审标准</w:t>
            </w:r>
          </w:p>
        </w:tc>
      </w:tr>
      <w:tr>
        <w:tblPrEx>
          <w:tblCellMar>
            <w:top w:w="0" w:type="dxa"/>
            <w:left w:w="0" w:type="dxa"/>
            <w:bottom w:w="0" w:type="dxa"/>
            <w:right w:w="0" w:type="dxa"/>
          </w:tblCellMar>
        </w:tblPrEx>
        <w:trPr>
          <w:trHeight w:val="490" w:hRule="atLeast"/>
          <w:jc w:val="center"/>
        </w:trPr>
        <w:tc>
          <w:tcPr>
            <w:tcW w:w="568" w:type="dxa"/>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szCs w:val="21"/>
              </w:rPr>
            </w:pPr>
            <w:r>
              <w:rPr>
                <w:rFonts w:hint="eastAsia" w:ascii="宋体" w:hAnsi="宋体" w:cs="宋体"/>
                <w:color w:val="000000"/>
                <w:szCs w:val="21"/>
              </w:rPr>
              <w:t>2.1.1</w:t>
            </w:r>
          </w:p>
          <w:p>
            <w:pPr>
              <w:pStyle w:val="14"/>
              <w:snapToGrid w:val="0"/>
              <w:spacing w:line="300" w:lineRule="exact"/>
              <w:rPr>
                <w:rFonts w:hint="eastAsia" w:hAnsi="宋体"/>
                <w:b/>
                <w:sz w:val="21"/>
                <w:szCs w:val="21"/>
              </w:rPr>
            </w:pPr>
            <w:r>
              <w:rPr>
                <w:rFonts w:hint="eastAsia" w:hAnsi="宋体"/>
                <w:sz w:val="21"/>
                <w:szCs w:val="21"/>
              </w:rPr>
              <w:t>2.1.3</w:t>
            </w:r>
          </w:p>
        </w:tc>
        <w:tc>
          <w:tcPr>
            <w:tcW w:w="1128" w:type="dxa"/>
            <w:gridSpan w:val="3"/>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形式评审与响应性评审标准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投标人名称</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与营业执照一致</w:t>
            </w:r>
          </w:p>
        </w:tc>
      </w:tr>
      <w:tr>
        <w:tblPrEx>
          <w:tblCellMar>
            <w:top w:w="0" w:type="dxa"/>
            <w:left w:w="0" w:type="dxa"/>
            <w:bottom w:w="0" w:type="dxa"/>
            <w:right w:w="0" w:type="dxa"/>
          </w:tblCellMar>
        </w:tblPrEx>
        <w:trPr>
          <w:trHeight w:val="705" w:hRule="atLeast"/>
          <w:jc w:val="center"/>
        </w:trPr>
        <w:tc>
          <w:tcPr>
            <w:tcW w:w="568" w:type="dxa"/>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报价文件签字盖章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3.7.3</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90" w:hRule="atLeast"/>
          <w:jc w:val="center"/>
        </w:trPr>
        <w:tc>
          <w:tcPr>
            <w:tcW w:w="568" w:type="dxa"/>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投标文件格式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符合第六章“投标文件格式”的规定，组成齐全完整。</w:t>
            </w:r>
          </w:p>
        </w:tc>
      </w:tr>
      <w:tr>
        <w:tblPrEx>
          <w:tblCellMar>
            <w:top w:w="0" w:type="dxa"/>
            <w:left w:w="0" w:type="dxa"/>
            <w:bottom w:w="0" w:type="dxa"/>
            <w:right w:w="0" w:type="dxa"/>
          </w:tblCellMar>
        </w:tblPrEx>
        <w:trPr>
          <w:trHeight w:val="623" w:hRule="atLeast"/>
          <w:jc w:val="center"/>
        </w:trPr>
        <w:tc>
          <w:tcPr>
            <w:tcW w:w="568"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投标报价</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符合第二章“投标人须知”第 3.2 款规定。</w:t>
            </w:r>
          </w:p>
        </w:tc>
      </w:tr>
      <w:tr>
        <w:tblPrEx>
          <w:tblCellMar>
            <w:top w:w="0" w:type="dxa"/>
            <w:left w:w="0" w:type="dxa"/>
            <w:bottom w:w="0" w:type="dxa"/>
            <w:right w:w="0" w:type="dxa"/>
          </w:tblCellMar>
        </w:tblPrEx>
        <w:trPr>
          <w:trHeight w:val="54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条款内容</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编列内容</w:t>
            </w:r>
          </w:p>
        </w:tc>
      </w:tr>
      <w:tr>
        <w:tblPrEx>
          <w:tblCellMar>
            <w:top w:w="0" w:type="dxa"/>
            <w:left w:w="0" w:type="dxa"/>
            <w:bottom w:w="0" w:type="dxa"/>
            <w:right w:w="0" w:type="dxa"/>
          </w:tblCellMar>
        </w:tblPrEx>
        <w:trPr>
          <w:trHeight w:val="191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300" w:lineRule="exact"/>
              <w:jc w:val="center"/>
              <w:rPr>
                <w:rFonts w:hint="eastAsia" w:ascii="宋体" w:hAnsi="宋体" w:cs="宋体"/>
                <w:kern w:val="0"/>
                <w:szCs w:val="21"/>
              </w:rPr>
            </w:pPr>
            <w:r>
              <w:rPr>
                <w:rFonts w:hint="eastAsia" w:ascii="宋体" w:hAnsi="宋体" w:cs="宋体"/>
                <w:szCs w:val="21"/>
              </w:rPr>
              <w:t>2.2.1</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kern w:val="0"/>
                <w:szCs w:val="21"/>
              </w:rPr>
            </w:pPr>
            <w:r>
              <w:rPr>
                <w:rFonts w:hint="eastAsia" w:ascii="宋体" w:hAnsi="宋体" w:cs="宋体"/>
                <w:szCs w:val="21"/>
              </w:rPr>
              <w:t>分值构成</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left="107"/>
              <w:jc w:val="left"/>
              <w:rPr>
                <w:rFonts w:hint="eastAsia" w:ascii="宋体" w:hAnsi="宋体" w:cs="宋体"/>
                <w:b/>
                <w:kern w:val="0"/>
                <w:szCs w:val="21"/>
              </w:rPr>
            </w:pPr>
            <w:r>
              <w:rPr>
                <w:rFonts w:hint="eastAsia" w:ascii="宋体" w:hAnsi="宋体" w:cs="宋体"/>
                <w:b/>
                <w:kern w:val="0"/>
                <w:szCs w:val="21"/>
              </w:rPr>
              <w:t>第一信封（商务及技术文件）评分分值构成：</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商务部分：  40分</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 xml:space="preserve">技术部分：  50分 </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其他因素：  0分</w:t>
            </w:r>
          </w:p>
          <w:p>
            <w:pPr>
              <w:autoSpaceDE w:val="0"/>
              <w:autoSpaceDN w:val="0"/>
              <w:adjustRightInd w:val="0"/>
              <w:snapToGrid w:val="0"/>
              <w:spacing w:line="300" w:lineRule="exact"/>
              <w:ind w:left="107"/>
              <w:jc w:val="left"/>
              <w:rPr>
                <w:rFonts w:hint="eastAsia" w:ascii="宋体" w:hAnsi="宋体" w:cs="宋体"/>
                <w:b/>
                <w:kern w:val="0"/>
                <w:szCs w:val="21"/>
              </w:rPr>
            </w:pPr>
            <w:r>
              <w:rPr>
                <w:rFonts w:hint="eastAsia" w:ascii="宋体" w:hAnsi="宋体" w:cs="宋体"/>
                <w:b/>
                <w:kern w:val="0"/>
                <w:szCs w:val="21"/>
              </w:rPr>
              <w:t>第二信封（报价文件）评分分值构成：</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szCs w:val="21"/>
              </w:rPr>
              <w:t>评标价：    10分</w:t>
            </w:r>
          </w:p>
        </w:tc>
      </w:tr>
      <w:tr>
        <w:tblPrEx>
          <w:tblCellMar>
            <w:top w:w="0" w:type="dxa"/>
            <w:left w:w="0" w:type="dxa"/>
            <w:bottom w:w="0" w:type="dxa"/>
            <w:right w:w="0" w:type="dxa"/>
          </w:tblCellMar>
        </w:tblPrEx>
        <w:trPr>
          <w:trHeight w:val="504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2.2.2</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评标</w:t>
            </w:r>
            <w:r>
              <w:rPr>
                <w:rFonts w:hint="eastAsia" w:ascii="宋体" w:hAnsi="宋体" w:cs="宋体"/>
                <w:color w:val="000000"/>
                <w:spacing w:val="-2"/>
                <w:kern w:val="0"/>
                <w:szCs w:val="21"/>
              </w:rPr>
              <w:t>基</w:t>
            </w:r>
            <w:r>
              <w:rPr>
                <w:rFonts w:hint="eastAsia" w:ascii="宋体" w:hAnsi="宋体" w:cs="宋体"/>
                <w:color w:val="000000"/>
                <w:kern w:val="0"/>
                <w:szCs w:val="21"/>
              </w:rPr>
              <w:t>准</w:t>
            </w:r>
            <w:r>
              <w:rPr>
                <w:rFonts w:hint="eastAsia" w:ascii="宋体" w:hAnsi="宋体" w:cs="宋体"/>
                <w:color w:val="000000"/>
                <w:spacing w:val="-2"/>
                <w:kern w:val="0"/>
                <w:szCs w:val="21"/>
              </w:rPr>
              <w:t>价</w:t>
            </w:r>
            <w:r>
              <w:rPr>
                <w:rFonts w:hint="eastAsia" w:ascii="宋体" w:hAnsi="宋体" w:cs="宋体"/>
                <w:color w:val="000000"/>
                <w:kern w:val="0"/>
                <w:szCs w:val="21"/>
              </w:rPr>
              <w:t>计</w:t>
            </w:r>
            <w:r>
              <w:rPr>
                <w:rFonts w:hint="eastAsia" w:ascii="宋体" w:hAnsi="宋体" w:cs="宋体"/>
                <w:color w:val="000000"/>
                <w:spacing w:val="-2"/>
                <w:kern w:val="0"/>
                <w:szCs w:val="21"/>
              </w:rPr>
              <w:t>算</w:t>
            </w:r>
            <w:r>
              <w:rPr>
                <w:rFonts w:hint="eastAsia" w:ascii="宋体" w:hAnsi="宋体" w:cs="宋体"/>
                <w:color w:val="000000"/>
                <w:kern w:val="0"/>
                <w:szCs w:val="21"/>
              </w:rPr>
              <w:t>方法</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在开标现场，招标人将当场计算并宣布评标基准价。</w:t>
            </w:r>
          </w:p>
          <w:p>
            <w:pPr>
              <w:snapToGrid w:val="0"/>
              <w:spacing w:line="300" w:lineRule="exact"/>
              <w:rPr>
                <w:rFonts w:hint="eastAsia" w:ascii="宋体" w:hAnsi="宋体" w:cs="宋体"/>
                <w:color w:val="000000"/>
                <w:szCs w:val="21"/>
              </w:rPr>
            </w:pPr>
            <w:r>
              <w:rPr>
                <w:rFonts w:hint="eastAsia" w:ascii="宋体" w:hAnsi="宋体" w:cs="宋体"/>
                <w:color w:val="000000"/>
                <w:szCs w:val="21"/>
              </w:rPr>
              <w:t>评标基准价的计算：</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(1)评标价的确定：</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评标价=投标函文字报价</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(2)评标价平均值的计算：</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除按第二章“投标人须知”前附表第5.2.4项规定开标现场被宣布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00" w:lineRule="exact"/>
              <w:rPr>
                <w:rFonts w:hint="eastAsia" w:ascii="宋体" w:hAnsi="宋体" w:cs="宋体"/>
                <w:szCs w:val="21"/>
              </w:rPr>
            </w:pPr>
            <w:r>
              <w:rPr>
                <w:rFonts w:hint="eastAsia" w:ascii="宋体" w:hAnsi="宋体" w:cs="宋体"/>
                <w:szCs w:val="21"/>
              </w:rPr>
              <w:t xml:space="preserve">3）评标基准价的确定： </w:t>
            </w:r>
          </w:p>
          <w:p>
            <w:pPr>
              <w:snapToGrid w:val="0"/>
              <w:spacing w:line="300" w:lineRule="exact"/>
              <w:ind w:firstLine="525" w:firstLineChars="250"/>
              <w:rPr>
                <w:rFonts w:hint="eastAsia" w:ascii="宋体" w:hAnsi="宋体" w:cs="宋体"/>
                <w:szCs w:val="21"/>
              </w:rPr>
            </w:pPr>
            <w:r>
              <w:rPr>
                <w:rFonts w:hint="eastAsia" w:ascii="宋体" w:hAnsi="宋体" w:cs="宋体"/>
                <w:szCs w:val="21"/>
              </w:rPr>
              <w:t>将评标价平均值直接作为评标基准价。</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（评标基准价保留两位小数，第三位四舍五入）。</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如果投标人认为评标基准价计算有误，有权在第二信封开标现场提出，经监标人当场核实确认之后，可重新宣布评标基准价。</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在评标过程中，评标委员会应对招标人计算的评标基准价进行复核，存在计算错误的应予以修正并在评标报告中作出说明。除此以外，评标基准价在整个评标期间保持不变，不随任何因素发生变化。当所有投标价都高于招标人最高投标限价时，招标人将重新招标。</w:t>
            </w:r>
          </w:p>
        </w:tc>
      </w:tr>
      <w:tr>
        <w:tblPrEx>
          <w:tblCellMar>
            <w:top w:w="0" w:type="dxa"/>
            <w:left w:w="0" w:type="dxa"/>
            <w:bottom w:w="0" w:type="dxa"/>
            <w:right w:w="0" w:type="dxa"/>
          </w:tblCellMar>
        </w:tblPrEx>
        <w:trPr>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2.2.3</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投标报价的偏差率</w:t>
            </w:r>
          </w:p>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计算公式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偏差率=100%×（投标人评标价-评标基准价）/评标基准价</w:t>
            </w:r>
          </w:p>
        </w:tc>
      </w:tr>
      <w:tr>
        <w:tblPrEx>
          <w:tblCellMar>
            <w:top w:w="0" w:type="dxa"/>
            <w:left w:w="0" w:type="dxa"/>
            <w:bottom w:w="0" w:type="dxa"/>
            <w:right w:w="0" w:type="dxa"/>
          </w:tblCellMar>
        </w:tblPrEx>
        <w:trPr>
          <w:trHeight w:val="46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634" w:firstLine="316" w:firstLineChars="150"/>
              <w:jc w:val="center"/>
              <w:rPr>
                <w:rFonts w:hint="eastAsia" w:ascii="宋体" w:hAnsi="宋体" w:cs="宋体"/>
                <w:b/>
                <w:color w:val="000000"/>
                <w:kern w:val="0"/>
                <w:szCs w:val="21"/>
              </w:rPr>
            </w:pPr>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left="283" w:right="-20" w:firstLine="562"/>
              <w:jc w:val="center"/>
              <w:rPr>
                <w:rFonts w:hint="eastAsia" w:ascii="宋体" w:hAnsi="宋体" w:cs="宋体"/>
                <w:b/>
                <w:color w:val="000000"/>
                <w:kern w:val="0"/>
                <w:szCs w:val="21"/>
              </w:rPr>
            </w:pPr>
            <w:r>
              <w:rPr>
                <w:rFonts w:hint="eastAsia" w:ascii="宋体" w:hAnsi="宋体" w:cs="宋体"/>
                <w:b/>
                <w:color w:val="000000"/>
                <w:kern w:val="0"/>
                <w:szCs w:val="21"/>
              </w:rPr>
              <w:t>评分因素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1857" w:firstLine="562"/>
              <w:jc w:val="center"/>
              <w:rPr>
                <w:rFonts w:hint="eastAsia" w:ascii="宋体" w:hAnsi="宋体" w:cs="宋体"/>
                <w:b/>
                <w:color w:val="000000"/>
                <w:kern w:val="0"/>
                <w:szCs w:val="21"/>
              </w:rPr>
            </w:pPr>
            <w:r>
              <w:rPr>
                <w:rFonts w:hint="eastAsia" w:ascii="宋体" w:hAnsi="宋体" w:cs="宋体"/>
                <w:b/>
                <w:color w:val="000000"/>
                <w:kern w:val="0"/>
                <w:szCs w:val="21"/>
              </w:rPr>
              <w:t>评分标准</w:t>
            </w:r>
          </w:p>
        </w:tc>
      </w:tr>
      <w:tr>
        <w:tblPrEx>
          <w:tblCellMar>
            <w:top w:w="0" w:type="dxa"/>
            <w:left w:w="0" w:type="dxa"/>
            <w:bottom w:w="0" w:type="dxa"/>
            <w:right w:w="0" w:type="dxa"/>
          </w:tblCellMar>
        </w:tblPrEx>
        <w:trPr>
          <w:trHeight w:val="1254" w:hRule="atLeast"/>
          <w:jc w:val="center"/>
        </w:trPr>
        <w:tc>
          <w:tcPr>
            <w:tcW w:w="815" w:type="dxa"/>
            <w:gridSpan w:val="3"/>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kern w:val="0"/>
                <w:szCs w:val="21"/>
              </w:rPr>
            </w:pPr>
            <w:r>
              <w:rPr>
                <w:rFonts w:hint="eastAsia" w:ascii="宋体" w:hAnsi="宋体" w:cs="宋体"/>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kern w:val="0"/>
                <w:szCs w:val="21"/>
              </w:rPr>
              <w:t>（1）</w:t>
            </w:r>
          </w:p>
        </w:tc>
        <w:tc>
          <w:tcPr>
            <w:tcW w:w="881" w:type="dxa"/>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szCs w:val="21"/>
              </w:rPr>
            </w:pPr>
            <w:r>
              <w:rPr>
                <w:rFonts w:hint="eastAsia" w:ascii="宋体" w:hAnsi="宋体" w:cs="宋体"/>
                <w:szCs w:val="21"/>
              </w:rPr>
              <w:t>商务部分</w:t>
            </w:r>
          </w:p>
          <w:p>
            <w:pPr>
              <w:autoSpaceDE w:val="0"/>
              <w:autoSpaceDN w:val="0"/>
              <w:adjustRightInd w:val="0"/>
              <w:snapToGrid w:val="0"/>
              <w:spacing w:line="300" w:lineRule="exact"/>
              <w:ind w:right="60"/>
              <w:rPr>
                <w:rFonts w:hint="eastAsia" w:ascii="宋体" w:hAnsi="宋体" w:cs="宋体"/>
                <w:color w:val="000000"/>
                <w:spacing w:val="-2"/>
                <w:kern w:val="0"/>
                <w:szCs w:val="21"/>
              </w:rPr>
            </w:pPr>
            <w:r>
              <w:rPr>
                <w:rFonts w:hint="eastAsia" w:ascii="宋体" w:hAnsi="宋体" w:cs="宋体"/>
                <w:szCs w:val="21"/>
              </w:rPr>
              <w:t>（40分）</w:t>
            </w:r>
          </w:p>
        </w:tc>
        <w:tc>
          <w:tcPr>
            <w:tcW w:w="1917" w:type="dxa"/>
            <w:gridSpan w:val="2"/>
            <w:vMerge w:val="restart"/>
            <w:tcBorders>
              <w:top w:val="single" w:color="000000"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综合实力</w:t>
            </w:r>
          </w:p>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（15分）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注册资金60亿以上得10.0分（≥60亿）；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注册资金40亿—60亿得8.0分（≥40亿，小于60亿）；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注册资金小于40亿得6.0分（＜1亿）；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本项以人民币为准，如外币时按开标当日现行折算。</w:t>
            </w:r>
          </w:p>
        </w:tc>
      </w:tr>
      <w:tr>
        <w:tblPrEx>
          <w:tblCellMar>
            <w:top w:w="0" w:type="dxa"/>
            <w:left w:w="0" w:type="dxa"/>
            <w:bottom w:w="0" w:type="dxa"/>
            <w:right w:w="0" w:type="dxa"/>
          </w:tblCellMar>
        </w:tblPrEx>
        <w:trPr>
          <w:trHeight w:val="356"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连续五年被中国证监会评为A类AA级券商，加1分，连续十年被中国证监会评为A类AA级券商，加3分，连续十三年以上被中国证监会评为A类AA级券商，加5分。</w:t>
            </w:r>
          </w:p>
        </w:tc>
      </w:tr>
      <w:tr>
        <w:tblPrEx>
          <w:tblCellMar>
            <w:top w:w="0" w:type="dxa"/>
            <w:left w:w="0" w:type="dxa"/>
            <w:bottom w:w="0" w:type="dxa"/>
            <w:right w:w="0" w:type="dxa"/>
          </w:tblCellMar>
        </w:tblPrEx>
        <w:trPr>
          <w:trHeight w:val="1123"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restart"/>
            <w:tcBorders>
              <w:top w:val="single" w:color="000000"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业绩</w:t>
            </w:r>
          </w:p>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（25分）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2021年度成功保荐IPO项目10家（＞10家）以上，加15分；</w:t>
            </w:r>
          </w:p>
          <w:p>
            <w:pPr>
              <w:pStyle w:val="5"/>
              <w:snapToGrid w:val="0"/>
              <w:spacing w:line="300" w:lineRule="exact"/>
              <w:rPr>
                <w:rFonts w:hint="eastAsia" w:cs="宋体"/>
                <w:sz w:val="21"/>
                <w:szCs w:val="21"/>
              </w:rPr>
            </w:pPr>
            <w:r>
              <w:rPr>
                <w:rFonts w:hint="eastAsia" w:cs="宋体"/>
                <w:sz w:val="21"/>
                <w:szCs w:val="21"/>
              </w:rPr>
              <w:t>2021年度成功保荐IPO项目5-10家（≥5家，≤10家），加10分；</w:t>
            </w:r>
          </w:p>
          <w:p>
            <w:pPr>
              <w:pStyle w:val="5"/>
              <w:snapToGrid w:val="0"/>
              <w:spacing w:line="300" w:lineRule="exact"/>
              <w:rPr>
                <w:rFonts w:hint="eastAsia" w:cs="宋体"/>
                <w:sz w:val="21"/>
                <w:szCs w:val="21"/>
              </w:rPr>
            </w:pPr>
            <w:r>
              <w:rPr>
                <w:rFonts w:hint="eastAsia" w:cs="宋体"/>
                <w:sz w:val="21"/>
                <w:szCs w:val="21"/>
              </w:rPr>
              <w:t>2021年度成功保荐IPO项目5家以下（＜5家），不加分；</w:t>
            </w:r>
          </w:p>
        </w:tc>
      </w:tr>
      <w:tr>
        <w:tblPrEx>
          <w:tblCellMar>
            <w:top w:w="0" w:type="dxa"/>
            <w:left w:w="0" w:type="dxa"/>
            <w:bottom w:w="0" w:type="dxa"/>
            <w:right w:w="0" w:type="dxa"/>
          </w:tblCellMar>
        </w:tblPrEx>
        <w:trPr>
          <w:trHeight w:val="27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2021年度完成借壳上市1家/次，加5分；</w:t>
            </w:r>
          </w:p>
        </w:tc>
      </w:tr>
      <w:tr>
        <w:tblPrEx>
          <w:tblCellMar>
            <w:top w:w="0" w:type="dxa"/>
            <w:left w:w="0" w:type="dxa"/>
            <w:bottom w:w="0" w:type="dxa"/>
            <w:right w:w="0" w:type="dxa"/>
          </w:tblCellMar>
        </w:tblPrEx>
        <w:trPr>
          <w:trHeight w:val="829"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近三年内服务河北省属国企股权收购业务1家/次，加1分；</w:t>
            </w:r>
          </w:p>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近三年内服务河北省属国企股权收购业务3家/次，加3分；</w:t>
            </w:r>
          </w:p>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近三年内服务河北省属国企股权收购业务5家/次，加5分。</w:t>
            </w:r>
          </w:p>
        </w:tc>
      </w:tr>
      <w:tr>
        <w:tblPrEx>
          <w:tblCellMar>
            <w:top w:w="0" w:type="dxa"/>
            <w:left w:w="0" w:type="dxa"/>
            <w:bottom w:w="0" w:type="dxa"/>
            <w:right w:w="0" w:type="dxa"/>
          </w:tblCellMar>
        </w:tblPrEx>
        <w:trPr>
          <w:trHeight w:val="549" w:hRule="atLeast"/>
          <w:jc w:val="center"/>
        </w:trPr>
        <w:tc>
          <w:tcPr>
            <w:tcW w:w="815" w:type="dxa"/>
            <w:gridSpan w:val="3"/>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81" w:type="dxa"/>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技术</w:t>
            </w:r>
          </w:p>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部分</w:t>
            </w:r>
          </w:p>
          <w:p>
            <w:pPr>
              <w:autoSpaceDE w:val="0"/>
              <w:autoSpaceDN w:val="0"/>
              <w:adjustRightInd w:val="0"/>
              <w:snapToGrid w:val="0"/>
              <w:spacing w:line="300" w:lineRule="exact"/>
              <w:ind w:right="60"/>
              <w:rPr>
                <w:rFonts w:hint="eastAsia" w:ascii="宋体" w:hAnsi="宋体" w:cs="宋体"/>
                <w:color w:val="000000"/>
                <w:kern w:val="0"/>
                <w:szCs w:val="21"/>
              </w:rPr>
            </w:pPr>
            <w:r>
              <w:rPr>
                <w:rFonts w:hint="eastAsia" w:ascii="宋体" w:hAnsi="宋体" w:cs="宋体"/>
                <w:color w:val="000000"/>
                <w:spacing w:val="-2"/>
                <w:kern w:val="0"/>
                <w:szCs w:val="21"/>
              </w:rPr>
              <w:t>（50分）</w:t>
            </w:r>
          </w:p>
        </w:tc>
        <w:tc>
          <w:tcPr>
            <w:tcW w:w="1096" w:type="dxa"/>
            <w:vMerge w:val="restart"/>
            <w:tcBorders>
              <w:top w:val="single" w:color="000000"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服务方案</w:t>
            </w:r>
          </w:p>
          <w:p>
            <w:pPr>
              <w:snapToGrid w:val="0"/>
              <w:spacing w:line="300" w:lineRule="exact"/>
              <w:jc w:val="center"/>
              <w:rPr>
                <w:rFonts w:hint="eastAsia" w:ascii="宋体" w:hAnsi="宋体" w:cs="宋体"/>
                <w:szCs w:val="21"/>
              </w:rPr>
            </w:pPr>
            <w:r>
              <w:rPr>
                <w:rFonts w:hint="eastAsia" w:ascii="宋体" w:hAnsi="宋体" w:cs="宋体"/>
                <w:szCs w:val="21"/>
              </w:rPr>
              <w:t>（20分）</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总体服务方案</w:t>
            </w:r>
          </w:p>
          <w:p>
            <w:pPr>
              <w:pStyle w:val="5"/>
              <w:snapToGrid w:val="0"/>
              <w:spacing w:line="300" w:lineRule="exact"/>
              <w:rPr>
                <w:rFonts w:hint="eastAsia" w:cs="宋体"/>
                <w:sz w:val="21"/>
                <w:szCs w:val="21"/>
              </w:rPr>
            </w:pPr>
            <w:r>
              <w:rPr>
                <w:rFonts w:hint="eastAsia" w:cs="宋体"/>
                <w:sz w:val="21"/>
                <w:szCs w:val="21"/>
              </w:rPr>
              <w:t>（10分）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科学合理、针对性强、可行性强得8.0-10.0分；</w:t>
            </w:r>
          </w:p>
        </w:tc>
      </w:tr>
      <w:tr>
        <w:tblPrEx>
          <w:tblCellMar>
            <w:top w:w="0" w:type="dxa"/>
            <w:left w:w="0" w:type="dxa"/>
            <w:bottom w:w="0" w:type="dxa"/>
            <w:right w:w="0" w:type="dxa"/>
          </w:tblCellMar>
        </w:tblPrEx>
        <w:trPr>
          <w:trHeight w:val="34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较科学合理，针对性较强、可行性较强得6.0-8.0分；</w:t>
            </w:r>
          </w:p>
        </w:tc>
      </w:tr>
      <w:tr>
        <w:tblPrEx>
          <w:tblCellMar>
            <w:top w:w="0" w:type="dxa"/>
            <w:left w:w="0" w:type="dxa"/>
            <w:bottom w:w="0" w:type="dxa"/>
            <w:right w:w="0" w:type="dxa"/>
          </w:tblCellMar>
        </w:tblPrEx>
        <w:trPr>
          <w:trHeight w:val="47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基本科学合理、针对性一般、可行性一般得6.0分；</w:t>
            </w:r>
          </w:p>
        </w:tc>
      </w:tr>
      <w:tr>
        <w:tblPrEx>
          <w:tblCellMar>
            <w:top w:w="0" w:type="dxa"/>
            <w:left w:w="0" w:type="dxa"/>
            <w:bottom w:w="0" w:type="dxa"/>
            <w:right w:w="0" w:type="dxa"/>
          </w:tblCellMar>
        </w:tblPrEx>
        <w:trPr>
          <w:trHeight w:val="36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kern w:val="0"/>
                <w:szCs w:val="21"/>
              </w:rPr>
              <w:t>本项目工作的</w:t>
            </w:r>
            <w:r>
              <w:rPr>
                <w:rFonts w:hint="eastAsia" w:ascii="宋体" w:hAnsi="宋体" w:cs="宋体"/>
                <w:spacing w:val="-12"/>
                <w:szCs w:val="21"/>
              </w:rPr>
              <w:t>重点与难点分析（10分）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分析透彻，对难点、重点把握准确；处理措施科学合理，有效可行，得8.0－10.0分；</w:t>
            </w:r>
          </w:p>
        </w:tc>
      </w:tr>
      <w:tr>
        <w:tblPrEx>
          <w:tblCellMar>
            <w:top w:w="0" w:type="dxa"/>
            <w:left w:w="0" w:type="dxa"/>
            <w:bottom w:w="0" w:type="dxa"/>
            <w:right w:w="0" w:type="dxa"/>
          </w:tblCellMar>
        </w:tblPrEx>
        <w:trPr>
          <w:trHeight w:val="40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分析较透彻，对难点、重点把握较准确；处理措施合理，可行，得6.0－8.0分；</w:t>
            </w:r>
          </w:p>
        </w:tc>
      </w:tr>
      <w:tr>
        <w:tblPrEx>
          <w:tblCellMar>
            <w:top w:w="0" w:type="dxa"/>
            <w:left w:w="0" w:type="dxa"/>
            <w:bottom w:w="0" w:type="dxa"/>
            <w:right w:w="0" w:type="dxa"/>
          </w:tblCellMar>
        </w:tblPrEx>
        <w:trPr>
          <w:trHeight w:val="293"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分析一般，对难点、重点把握一般；处理措施基本合理，基本可行，得6.0分；</w:t>
            </w:r>
          </w:p>
        </w:tc>
      </w:tr>
      <w:tr>
        <w:tblPrEx>
          <w:tblCellMar>
            <w:top w:w="0" w:type="dxa"/>
            <w:left w:w="0" w:type="dxa"/>
            <w:bottom w:w="0" w:type="dxa"/>
            <w:right w:w="0" w:type="dxa"/>
          </w:tblCellMar>
        </w:tblPrEx>
        <w:trPr>
          <w:trHeight w:val="614"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restart"/>
            <w:tcBorders>
              <w:top w:val="single" w:color="auto"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团队人员配备</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r>
              <w:rPr>
                <w:rFonts w:hint="eastAsia" w:ascii="宋体" w:hAnsi="宋体" w:cs="宋体"/>
                <w:kern w:val="0"/>
                <w:szCs w:val="21"/>
              </w:rPr>
              <w:t>20</w:t>
            </w:r>
            <w:r>
              <w:rPr>
                <w:rFonts w:hint="eastAsia" w:ascii="宋体" w:hAnsi="宋体" w:cs="宋体"/>
                <w:kern w:val="0"/>
                <w:szCs w:val="21"/>
                <w:lang w:val="zh-CN"/>
              </w:rPr>
              <w:t>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项目实施团队中有一名保荐代表人，得2分，本项最多得5分；</w:t>
            </w:r>
          </w:p>
        </w:tc>
      </w:tr>
      <w:tr>
        <w:tblPrEx>
          <w:tblCellMar>
            <w:top w:w="0" w:type="dxa"/>
            <w:left w:w="0" w:type="dxa"/>
            <w:bottom w:w="0" w:type="dxa"/>
            <w:right w:w="0" w:type="dxa"/>
          </w:tblCellMar>
        </w:tblPrEx>
        <w:trPr>
          <w:trHeight w:val="1101"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在河北省内设有分支机构（分公司、营业部合并计算）5-10家，（＞5家，≤10家）加3分；</w:t>
            </w:r>
          </w:p>
          <w:p>
            <w:pPr>
              <w:pStyle w:val="5"/>
              <w:snapToGrid w:val="0"/>
              <w:spacing w:line="300" w:lineRule="exact"/>
              <w:rPr>
                <w:rFonts w:hint="eastAsia" w:cs="宋体"/>
                <w:sz w:val="21"/>
                <w:szCs w:val="21"/>
              </w:rPr>
            </w:pPr>
            <w:r>
              <w:rPr>
                <w:rFonts w:hint="eastAsia" w:cs="宋体"/>
                <w:sz w:val="21"/>
                <w:szCs w:val="21"/>
              </w:rPr>
              <w:t>在河北省内设有分支机构（分公司、营业部合并计算）10家以上，（＞10家）加5分；</w:t>
            </w:r>
          </w:p>
        </w:tc>
      </w:tr>
      <w:tr>
        <w:tblPrEx>
          <w:tblCellMar>
            <w:top w:w="0" w:type="dxa"/>
            <w:left w:w="0" w:type="dxa"/>
            <w:bottom w:w="0" w:type="dxa"/>
            <w:right w:w="0" w:type="dxa"/>
          </w:tblCellMar>
        </w:tblPrEx>
        <w:trPr>
          <w:trHeight w:val="628"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ind w:right="113"/>
              <w:jc w:val="left"/>
              <w:rPr>
                <w:rFonts w:hint="eastAsia" w:ascii="宋体" w:hAnsi="宋体" w:cs="宋体"/>
                <w:szCs w:val="21"/>
              </w:rPr>
            </w:pPr>
            <w:r>
              <w:rPr>
                <w:rFonts w:hint="eastAsia" w:ascii="宋体" w:hAnsi="宋体" w:cs="宋体"/>
                <w:szCs w:val="21"/>
              </w:rPr>
              <w:t>河北省分公司同时具备律师和会计师相应资格的人员，加10分。</w:t>
            </w:r>
          </w:p>
        </w:tc>
      </w:tr>
      <w:tr>
        <w:tblPrEx>
          <w:tblCellMar>
            <w:top w:w="0" w:type="dxa"/>
            <w:left w:w="0" w:type="dxa"/>
            <w:bottom w:w="0" w:type="dxa"/>
            <w:right w:w="0" w:type="dxa"/>
          </w:tblCellMar>
        </w:tblPrEx>
        <w:trPr>
          <w:trHeight w:val="19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restart"/>
            <w:tcBorders>
              <w:top w:val="single" w:color="auto"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r>
              <w:rPr>
                <w:rFonts w:hint="eastAsia" w:ascii="宋体" w:hAnsi="宋体" w:cs="宋体"/>
                <w:szCs w:val="21"/>
              </w:rPr>
              <w:t>合作展望</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r>
              <w:rPr>
                <w:rFonts w:hint="eastAsia" w:ascii="宋体" w:hAnsi="宋体" w:cs="宋体"/>
                <w:szCs w:val="21"/>
              </w:rPr>
              <w:t>10分</w:t>
            </w:r>
          </w:p>
        </w:tc>
        <w:tc>
          <w:tcPr>
            <w:tcW w:w="5596" w:type="dxa"/>
            <w:tcBorders>
              <w:top w:val="single" w:color="auto" w:sz="4" w:space="0"/>
              <w:left w:val="single" w:color="auto" w:sz="4" w:space="0"/>
              <w:bottom w:val="single" w:color="auto" w:sz="4" w:space="0"/>
              <w:right w:val="single" w:color="000000" w:sz="4" w:space="0"/>
            </w:tcBorders>
            <w:noWrap w:val="0"/>
            <w:vAlign w:val="top"/>
          </w:tcPr>
          <w:p>
            <w:pPr>
              <w:snapToGrid w:val="0"/>
              <w:spacing w:line="300" w:lineRule="exact"/>
              <w:jc w:val="left"/>
              <w:rPr>
                <w:rFonts w:hint="eastAsia" w:ascii="宋体" w:hAnsi="宋体" w:cs="宋体"/>
                <w:szCs w:val="21"/>
              </w:rPr>
            </w:pPr>
            <w:r>
              <w:rPr>
                <w:rFonts w:hint="eastAsia" w:ascii="宋体" w:hAnsi="宋体" w:cs="宋体"/>
                <w:szCs w:val="21"/>
              </w:rPr>
              <w:t>合作方向及业务明确，合作前景广阔，得8.0-10.0分；</w:t>
            </w:r>
          </w:p>
        </w:tc>
      </w:tr>
      <w:tr>
        <w:tblPrEx>
          <w:tblCellMar>
            <w:top w:w="0" w:type="dxa"/>
            <w:left w:w="0" w:type="dxa"/>
            <w:bottom w:w="0" w:type="dxa"/>
            <w:right w:w="0" w:type="dxa"/>
          </w:tblCellMar>
        </w:tblPrEx>
        <w:trPr>
          <w:trHeight w:val="19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p>
        </w:tc>
        <w:tc>
          <w:tcPr>
            <w:tcW w:w="821" w:type="dxa"/>
            <w:vMerge w:val="continue"/>
            <w:tcBorders>
              <w:left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合作方向及业务较明确，合作前景较广阔，得6.0-8.0分；</w:t>
            </w:r>
          </w:p>
        </w:tc>
      </w:tr>
      <w:tr>
        <w:tblPrEx>
          <w:tblCellMar>
            <w:top w:w="0" w:type="dxa"/>
            <w:left w:w="0" w:type="dxa"/>
            <w:bottom w:w="0" w:type="dxa"/>
            <w:right w:w="0" w:type="dxa"/>
          </w:tblCellMar>
        </w:tblPrEx>
        <w:trPr>
          <w:trHeight w:val="444"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p>
        </w:tc>
        <w:tc>
          <w:tcPr>
            <w:tcW w:w="5596" w:type="dxa"/>
            <w:tcBorders>
              <w:top w:val="single" w:color="auto" w:sz="4" w:space="0"/>
              <w:left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合作方向及业务一般，合作前景一般得，得6.0分；</w:t>
            </w:r>
          </w:p>
        </w:tc>
      </w:tr>
      <w:tr>
        <w:tblPrEx>
          <w:tblCellMar>
            <w:top w:w="0" w:type="dxa"/>
            <w:left w:w="0" w:type="dxa"/>
            <w:bottom w:w="0" w:type="dxa"/>
            <w:right w:w="0" w:type="dxa"/>
          </w:tblCellMar>
        </w:tblPrEx>
        <w:trPr>
          <w:jc w:val="center"/>
        </w:trPr>
        <w:tc>
          <w:tcPr>
            <w:tcW w:w="815" w:type="dxa"/>
            <w:gridSpan w:val="3"/>
            <w:tcBorders>
              <w:top w:val="single" w:color="auto" w:sz="4" w:space="0"/>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（3）</w:t>
            </w:r>
          </w:p>
        </w:tc>
        <w:tc>
          <w:tcPr>
            <w:tcW w:w="881"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报</w:t>
            </w:r>
            <w:r>
              <w:rPr>
                <w:rFonts w:hint="eastAsia" w:ascii="宋体" w:hAnsi="宋体" w:cs="宋体"/>
                <w:color w:val="000000"/>
                <w:kern w:val="0"/>
                <w:szCs w:val="21"/>
              </w:rPr>
              <w:t>价评分</w:t>
            </w:r>
            <w:r>
              <w:rPr>
                <w:rFonts w:hint="eastAsia" w:ascii="宋体" w:hAnsi="宋体" w:cs="宋体"/>
                <w:color w:val="000000"/>
                <w:spacing w:val="-2"/>
                <w:kern w:val="0"/>
                <w:szCs w:val="21"/>
              </w:rPr>
              <w:t>标</w:t>
            </w:r>
            <w:r>
              <w:rPr>
                <w:rFonts w:hint="eastAsia" w:ascii="宋体" w:hAnsi="宋体" w:cs="宋体"/>
                <w:color w:val="000000"/>
                <w:kern w:val="0"/>
                <w:szCs w:val="21"/>
              </w:rPr>
              <w:t>准</w:t>
            </w:r>
          </w:p>
        </w:tc>
        <w:tc>
          <w:tcPr>
            <w:tcW w:w="7513"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10分</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评标价得分计算公式示例：</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（1）如果投标人的评标价＞评标基准价，则评标价得分=10-偏差率×100×E1；</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（2）如果投标人的评标价≤评标基准价，则评标价得分=10+偏差率×100×E2；</w:t>
            </w:r>
          </w:p>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szCs w:val="21"/>
              </w:rPr>
              <w:t>其中：E1是评标价每高于评标基准价一个百分点的扣分值；E2是评标价每低于评标基准价一个百分点的扣分值。E1=0.2，E2=0.1；评标价最低得分为 0 分。（评标价得分保留两位小数，第三位四舍五入）</w:t>
            </w:r>
          </w:p>
        </w:tc>
      </w:tr>
      <w:tr>
        <w:tblPrEx>
          <w:tblCellMar>
            <w:top w:w="0" w:type="dxa"/>
            <w:left w:w="0" w:type="dxa"/>
            <w:bottom w:w="0" w:type="dxa"/>
            <w:right w:w="0" w:type="dxa"/>
          </w:tblCellMar>
        </w:tblPrEx>
        <w:trPr>
          <w:jc w:val="center"/>
        </w:trPr>
        <w:tc>
          <w:tcPr>
            <w:tcW w:w="815" w:type="dxa"/>
            <w:gridSpan w:val="3"/>
            <w:tcBorders>
              <w:top w:val="single" w:color="auto" w:sz="4" w:space="0"/>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right="-23"/>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rPr>
                <w:rFonts w:hint="eastAsia" w:ascii="宋体" w:hAnsi="宋体" w:cs="宋体"/>
                <w:color w:val="000000"/>
                <w:kern w:val="0"/>
                <w:szCs w:val="21"/>
              </w:rPr>
            </w:pPr>
            <w:r>
              <w:rPr>
                <w:rFonts w:hint="eastAsia" w:ascii="宋体" w:hAnsi="宋体" w:cs="宋体"/>
                <w:color w:val="000000"/>
                <w:kern w:val="0"/>
                <w:szCs w:val="21"/>
              </w:rPr>
              <w:t>（4）</w:t>
            </w:r>
          </w:p>
        </w:tc>
        <w:tc>
          <w:tcPr>
            <w:tcW w:w="881"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20"/>
              <w:rPr>
                <w:rFonts w:hint="eastAsia" w:ascii="宋体" w:hAnsi="宋体" w:cs="宋体"/>
                <w:color w:val="000000"/>
                <w:kern w:val="0"/>
                <w:szCs w:val="21"/>
              </w:rPr>
            </w:pPr>
            <w:r>
              <w:rPr>
                <w:rFonts w:hint="eastAsia" w:ascii="宋体" w:hAnsi="宋体" w:cs="宋体"/>
                <w:color w:val="000000"/>
                <w:kern w:val="0"/>
                <w:szCs w:val="21"/>
              </w:rPr>
              <w:t>其他</w:t>
            </w:r>
            <w:r>
              <w:rPr>
                <w:rFonts w:hint="eastAsia" w:ascii="宋体" w:hAnsi="宋体" w:cs="宋体"/>
                <w:color w:val="000000"/>
                <w:spacing w:val="-2"/>
                <w:kern w:val="0"/>
                <w:szCs w:val="21"/>
              </w:rPr>
              <w:t>因</w:t>
            </w:r>
            <w:r>
              <w:rPr>
                <w:rFonts w:hint="eastAsia" w:ascii="宋体" w:hAnsi="宋体" w:cs="宋体"/>
                <w:color w:val="000000"/>
                <w:kern w:val="0"/>
                <w:szCs w:val="21"/>
              </w:rPr>
              <w:t>素评分</w:t>
            </w:r>
            <w:r>
              <w:rPr>
                <w:rFonts w:hint="eastAsia" w:ascii="宋体" w:hAnsi="宋体" w:cs="宋体"/>
                <w:color w:val="000000"/>
                <w:spacing w:val="-2"/>
                <w:kern w:val="0"/>
                <w:szCs w:val="21"/>
              </w:rPr>
              <w:t>标</w:t>
            </w:r>
            <w:r>
              <w:rPr>
                <w:rFonts w:hint="eastAsia" w:ascii="宋体" w:hAnsi="宋体" w:cs="宋体"/>
                <w:color w:val="000000"/>
                <w:kern w:val="0"/>
                <w:szCs w:val="21"/>
              </w:rPr>
              <w:t>准</w:t>
            </w:r>
          </w:p>
        </w:tc>
        <w:tc>
          <w:tcPr>
            <w:tcW w:w="75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966" w:firstLine="210" w:firstLineChars="100"/>
              <w:jc w:val="left"/>
              <w:rPr>
                <w:rFonts w:hint="eastAsia" w:ascii="宋体" w:hAnsi="宋体" w:cs="宋体"/>
                <w:color w:val="000000"/>
                <w:kern w:val="0"/>
                <w:szCs w:val="21"/>
              </w:rPr>
            </w:pPr>
            <w:r>
              <w:rPr>
                <w:rFonts w:hint="eastAsia" w:ascii="宋体" w:hAnsi="宋体" w:cs="宋体"/>
                <w:color w:val="000000"/>
                <w:szCs w:val="21"/>
              </w:rPr>
              <w:t>0分</w:t>
            </w:r>
          </w:p>
        </w:tc>
      </w:tr>
      <w:tr>
        <w:tblPrEx>
          <w:tblCellMar>
            <w:top w:w="0" w:type="dxa"/>
            <w:left w:w="0" w:type="dxa"/>
            <w:bottom w:w="0" w:type="dxa"/>
            <w:right w:w="0" w:type="dxa"/>
          </w:tblCellMar>
        </w:tblPrEx>
        <w:trPr>
          <w:trHeight w:val="640" w:hRule="atLeast"/>
          <w:jc w:val="center"/>
        </w:trPr>
        <w:tc>
          <w:tcPr>
            <w:tcW w:w="9209" w:type="dxa"/>
            <w:gridSpan w:val="7"/>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159" w:firstLine="210" w:firstLineChars="100"/>
              <w:jc w:val="left"/>
              <w:rPr>
                <w:rFonts w:hint="eastAsia" w:ascii="宋体" w:hAnsi="宋体" w:cs="宋体"/>
                <w:color w:val="000000"/>
                <w:szCs w:val="21"/>
              </w:rPr>
            </w:pPr>
            <w:r>
              <w:rPr>
                <w:rFonts w:hint="eastAsia" w:ascii="宋体" w:hAnsi="宋体" w:cs="宋体"/>
                <w:color w:val="000000"/>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bookmarkEnd w:id="3"/>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F41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insoku w:val="0"/>
      <w:overflowPunct w:val="0"/>
      <w:autoSpaceDE w:val="0"/>
      <w:autoSpaceDN w:val="0"/>
      <w:adjustRightInd w:val="0"/>
      <w:snapToGrid w:val="0"/>
      <w:spacing w:line="360" w:lineRule="auto"/>
      <w:outlineLvl w:val="1"/>
    </w:pPr>
    <w:rPr>
      <w:rFonts w:ascii="Arial" w:hAnsi="Arial"/>
      <w:b/>
      <w:bCs/>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480" w:firstLineChars="200"/>
    </w:pPr>
    <w:rPr>
      <w:rFonts w:ascii="宋体" w:hAnsi="宋体"/>
      <w:sz w:val="24"/>
    </w:rPr>
  </w:style>
  <w:style w:type="paragraph" w:styleId="5">
    <w:name w:val="Body Text"/>
    <w:basedOn w:val="1"/>
    <w:next w:val="6"/>
    <w:qFormat/>
    <w:uiPriority w:val="99"/>
    <w:rPr>
      <w:rFonts w:ascii="宋体" w:hAnsi="宋体"/>
      <w:sz w:val="24"/>
    </w:rPr>
  </w:style>
  <w:style w:type="paragraph" w:customStyle="1" w:styleId="6">
    <w:name w:val="正文部分 Char Char Char"/>
    <w:basedOn w:val="5"/>
    <w:next w:val="7"/>
    <w:qFormat/>
    <w:uiPriority w:val="99"/>
    <w:pPr>
      <w:spacing w:line="460" w:lineRule="exact"/>
      <w:textAlignment w:val="baseline"/>
    </w:pPr>
    <w:rPr>
      <w:sz w:val="24"/>
    </w:rPr>
  </w:style>
  <w:style w:type="paragraph" w:customStyle="1" w:styleId="7">
    <w:name w:val="章标题"/>
    <w:basedOn w:val="8"/>
    <w:qFormat/>
    <w:uiPriority w:val="99"/>
    <w:pPr>
      <w:spacing w:line="360" w:lineRule="auto"/>
    </w:pPr>
  </w:style>
  <w:style w:type="paragraph" w:styleId="8">
    <w:name w:val="Title"/>
    <w:basedOn w:val="1"/>
    <w:next w:val="1"/>
    <w:qFormat/>
    <w:uiPriority w:val="0"/>
    <w:pPr>
      <w:spacing w:before="240" w:beforeLines="0" w:after="60" w:afterLines="0"/>
      <w:jc w:val="center"/>
      <w:outlineLvl w:val="0"/>
    </w:pPr>
    <w:rPr>
      <w:sz w:val="18"/>
      <w:szCs w:val="18"/>
    </w:rPr>
  </w:style>
  <w:style w:type="paragraph" w:styleId="9">
    <w:name w:val="Block Text"/>
    <w:basedOn w:val="1"/>
    <w:uiPriority w:val="0"/>
    <w:pPr>
      <w:spacing w:line="400" w:lineRule="exact"/>
      <w:ind w:left="2" w:right="12" w:firstLine="412" w:firstLineChars="179"/>
    </w:pPr>
    <w:rPr>
      <w:rFonts w:ascii="宋体" w:hAnsi="宋体"/>
      <w:sz w:val="23"/>
      <w:szCs w:val="20"/>
    </w:rPr>
  </w:style>
  <w:style w:type="character" w:customStyle="1" w:styleId="12">
    <w:name w:val="目录4 Char"/>
    <w:qFormat/>
    <w:uiPriority w:val="0"/>
    <w:rPr>
      <w:rFonts w:ascii="黑体" w:eastAsia="黑体"/>
      <w:kern w:val="2"/>
      <w:sz w:val="24"/>
      <w:szCs w:val="24"/>
      <w:lang w:val="en-US" w:eastAsia="zh-CN" w:bidi="ar-SA"/>
    </w:rPr>
  </w:style>
  <w:style w:type="character" w:customStyle="1" w:styleId="13">
    <w:name w:val="目录4 Char Char"/>
    <w:uiPriority w:val="0"/>
    <w:rPr>
      <w:rFonts w:ascii="黑体" w:eastAsia="黑体"/>
      <w:kern w:val="2"/>
      <w:sz w:val="24"/>
      <w:szCs w:val="24"/>
      <w:lang w:val="en-US" w:eastAsia="zh-CN" w:bidi="ar-SA"/>
    </w:rPr>
  </w:style>
  <w:style w:type="paragraph" w:customStyle="1" w:styleId="1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2022-07-05T00:29:28Z</dcterms:created>
  <dc:creator>admin</dc:creator>
  <cp:lastModifiedBy>admin</cp:lastModifiedBy>
  <dcterms:modified xsi:type="dcterms:W3CDTF">2022-07-05T00:29:54Z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BEE56F4B28D640CDA3A240D785496E15</vt:lpwstr>
  </property>
</Properties>
</file>