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line="276" w:lineRule="auto"/>
        <w:rPr>
          <w:rFonts w:hint="eastAsia" w:ascii="宋体" w:hAnsi="宋体"/>
          <w:b/>
          <w:sz w:val="24"/>
        </w:rPr>
      </w:pPr>
      <w:bookmarkStart w:id="0" w:name="_Toc514238201"/>
      <w:bookmarkStart w:id="1" w:name="OLE_LINK1"/>
      <w:bookmarkStart w:id="2" w:name="_Hlk517255404"/>
      <w:r>
        <w:rPr>
          <w:rFonts w:hint="eastAsia" w:ascii="宋体" w:hAnsi="宋体"/>
          <w:b/>
          <w:sz w:val="24"/>
        </w:rPr>
        <w:t>附件</w:t>
      </w:r>
      <w:r>
        <w:rPr>
          <w:rFonts w:ascii="宋体" w:hAnsi="宋体"/>
          <w:b/>
          <w:sz w:val="24"/>
        </w:rPr>
        <w:t>1</w:t>
      </w:r>
      <w:r>
        <w:rPr>
          <w:rFonts w:hint="eastAsia" w:ascii="宋体" w:hAnsi="宋体"/>
          <w:b/>
          <w:sz w:val="24"/>
        </w:rPr>
        <w:t>：资格审查条件</w:t>
      </w:r>
      <w:bookmarkEnd w:id="0"/>
    </w:p>
    <w:p>
      <w:pPr>
        <w:adjustRightInd w:val="0"/>
        <w:spacing w:line="400" w:lineRule="exact"/>
        <w:jc w:val="center"/>
        <w:rPr>
          <w:rFonts w:hint="eastAsia" w:ascii="宋体" w:hAnsi="宋体"/>
          <w:b/>
          <w:sz w:val="24"/>
          <w:szCs w:val="24"/>
        </w:rPr>
      </w:pPr>
      <w:bookmarkStart w:id="3" w:name="_Hlk44668727"/>
    </w:p>
    <w:p>
      <w:pPr>
        <w:adjustRightInd w:val="0"/>
        <w:spacing w:line="400" w:lineRule="exact"/>
        <w:jc w:val="center"/>
        <w:rPr>
          <w:rFonts w:hint="eastAsia" w:ascii="宋体" w:hAnsi="宋体"/>
          <w:b/>
          <w:sz w:val="24"/>
          <w:szCs w:val="24"/>
        </w:rPr>
      </w:pPr>
      <w:r>
        <w:rPr>
          <w:rFonts w:hint="eastAsia" w:ascii="宋体" w:hAnsi="宋体"/>
          <w:b/>
          <w:sz w:val="24"/>
          <w:szCs w:val="24"/>
        </w:rPr>
        <w:t xml:space="preserve">附录1 </w:t>
      </w:r>
      <w:bookmarkStart w:id="4" w:name="_Hlk515531673"/>
      <w:r>
        <w:rPr>
          <w:rFonts w:hint="eastAsia" w:ascii="宋体" w:hAnsi="宋体"/>
          <w:b/>
          <w:sz w:val="24"/>
        </w:rPr>
        <w:t>资格</w:t>
      </w:r>
      <w:r>
        <w:rPr>
          <w:rFonts w:hint="eastAsia" w:ascii="宋体" w:hAnsi="宋体"/>
          <w:b/>
          <w:sz w:val="24"/>
          <w:szCs w:val="24"/>
        </w:rPr>
        <w:t>审查条件（资质最低要求）</w:t>
      </w:r>
      <w:bookmarkEnd w:id="4"/>
    </w:p>
    <w:bookmarkEnd w:id="3"/>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9321" w:type="dxa"/>
            <w:vAlign w:val="center"/>
          </w:tcPr>
          <w:p>
            <w:pPr>
              <w:pStyle w:val="9"/>
              <w:spacing w:before="0" w:beforeAutospacing="0" w:after="0" w:afterAutospacing="0" w:line="360" w:lineRule="auto"/>
              <w:ind w:firstLine="0"/>
              <w:contextualSpacing/>
              <w:jc w:val="center"/>
              <w:rPr>
                <w:sz w:val="21"/>
                <w:szCs w:val="21"/>
              </w:rPr>
            </w:pPr>
            <w:r>
              <w:rPr>
                <w:rFonts w:hint="eastAsia"/>
                <w:sz w:val="21"/>
                <w:szCs w:val="21"/>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9321" w:type="dxa"/>
            <w:vAlign w:val="center"/>
          </w:tcPr>
          <w:p>
            <w:pPr>
              <w:spacing w:line="276" w:lineRule="auto"/>
              <w:ind w:left="-62" w:leftChars="-22" w:firstLine="488"/>
              <w:rPr>
                <w:rFonts w:hint="eastAsia" w:ascii="宋体" w:hAnsi="宋体"/>
                <w:sz w:val="21"/>
                <w:szCs w:val="21"/>
              </w:rPr>
            </w:pPr>
            <w:r>
              <w:rPr>
                <w:rFonts w:hint="eastAsia" w:ascii="宋体" w:hAnsi="宋体"/>
                <w:sz w:val="21"/>
                <w:szCs w:val="21"/>
              </w:rPr>
              <w:t>1、具备独立企业法人或事业单位法人资格，持有有效的企业营业执照或事业单位法人证书；</w:t>
            </w:r>
          </w:p>
          <w:p>
            <w:pPr>
              <w:spacing w:line="276" w:lineRule="auto"/>
              <w:ind w:left="-62" w:leftChars="-22" w:firstLine="488"/>
              <w:rPr>
                <w:rFonts w:hint="eastAsia" w:ascii="宋体" w:hAnsi="宋体"/>
                <w:sz w:val="21"/>
                <w:szCs w:val="21"/>
              </w:rPr>
            </w:pPr>
            <w:r>
              <w:rPr>
                <w:rFonts w:ascii="宋体" w:hAnsi="宋体"/>
                <w:sz w:val="21"/>
                <w:szCs w:val="21"/>
              </w:rPr>
              <w:t>2</w:t>
            </w:r>
            <w:r>
              <w:rPr>
                <w:rFonts w:hint="eastAsia" w:ascii="宋体" w:hAnsi="宋体"/>
                <w:sz w:val="21"/>
                <w:szCs w:val="21"/>
              </w:rPr>
              <w:t>、具有行政主管部门颁发的</w:t>
            </w:r>
            <w:r>
              <w:rPr>
                <w:rFonts w:hint="eastAsia"/>
                <w:sz w:val="21"/>
                <w:szCs w:val="21"/>
              </w:rPr>
              <w:t>测绘乙级及以上资质。</w:t>
            </w:r>
          </w:p>
        </w:tc>
      </w:tr>
    </w:tbl>
    <w:p>
      <w:pPr>
        <w:adjustRightInd w:val="0"/>
        <w:spacing w:line="400" w:lineRule="exact"/>
        <w:jc w:val="center"/>
        <w:rPr>
          <w:rFonts w:hint="eastAsia" w:ascii="宋体" w:hAnsi="宋体"/>
          <w:b/>
          <w:sz w:val="24"/>
          <w:szCs w:val="24"/>
        </w:rPr>
      </w:pPr>
    </w:p>
    <w:p>
      <w:pPr>
        <w:jc w:val="center"/>
        <w:rPr>
          <w:rFonts w:ascii="宋体" w:hAnsi="宋体"/>
          <w:b/>
          <w:sz w:val="24"/>
        </w:rPr>
      </w:pPr>
    </w:p>
    <w:p>
      <w:pPr>
        <w:jc w:val="center"/>
        <w:rPr>
          <w:rFonts w:hint="eastAsia" w:ascii="宋体" w:hAnsi="宋体"/>
          <w:b/>
          <w:sz w:val="24"/>
          <w:szCs w:val="24"/>
        </w:rPr>
      </w:pPr>
      <w:r>
        <w:rPr>
          <w:rFonts w:hint="eastAsia" w:ascii="宋体" w:hAnsi="宋体"/>
          <w:b/>
          <w:sz w:val="24"/>
        </w:rPr>
        <w:t>附录2</w:t>
      </w:r>
      <w:bookmarkStart w:id="5" w:name="_Hlk44668799"/>
      <w:r>
        <w:rPr>
          <w:rFonts w:hint="eastAsia" w:ascii="宋体" w:hAnsi="宋体"/>
          <w:b/>
          <w:sz w:val="24"/>
          <w:szCs w:val="24"/>
        </w:rPr>
        <w:t xml:space="preserve"> 资格审查条件（业绩最低要求）</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spacing w:line="276" w:lineRule="auto"/>
              <w:ind w:left="-62" w:leftChars="-22" w:firstLine="488"/>
              <w:jc w:val="center"/>
              <w:rPr>
                <w:rFonts w:ascii="宋体" w:hAnsi="宋体"/>
                <w:sz w:val="21"/>
                <w:szCs w:val="21"/>
              </w:rPr>
            </w:pPr>
            <w:r>
              <w:rPr>
                <w:rFonts w:hint="eastAsia" w:ascii="宋体" w:hAnsi="宋体"/>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jc w:val="center"/>
        </w:trPr>
        <w:tc>
          <w:tcPr>
            <w:tcW w:w="9286" w:type="dxa"/>
            <w:vAlign w:val="center"/>
          </w:tcPr>
          <w:p>
            <w:pPr>
              <w:spacing w:line="276" w:lineRule="auto"/>
              <w:ind w:left="-62" w:leftChars="-22" w:firstLine="488"/>
              <w:rPr>
                <w:rFonts w:hint="eastAsia" w:ascii="宋体" w:hAnsi="宋体"/>
                <w:sz w:val="21"/>
                <w:szCs w:val="21"/>
              </w:rPr>
            </w:pPr>
            <w:r>
              <w:rPr>
                <w:rFonts w:hint="eastAsia" w:ascii="宋体" w:hAnsi="宋体"/>
                <w:sz w:val="21"/>
                <w:szCs w:val="21"/>
              </w:rPr>
              <w:t>近3年内(2019年7月1日至今，以合同签订日期为准) 至少独立完成过1项高速公路土地组卷业绩（包含主线和附属工程）。</w:t>
            </w:r>
          </w:p>
        </w:tc>
      </w:tr>
      <w:bookmarkEnd w:id="5"/>
    </w:tbl>
    <w:p>
      <w:pPr>
        <w:adjustRightInd w:val="0"/>
        <w:spacing w:line="400" w:lineRule="exact"/>
        <w:jc w:val="center"/>
        <w:rPr>
          <w:rFonts w:hint="eastAsia" w:ascii="宋体" w:hAnsi="宋体"/>
          <w:b/>
          <w:sz w:val="24"/>
          <w:szCs w:val="24"/>
        </w:rPr>
      </w:pPr>
    </w:p>
    <w:p>
      <w:pPr>
        <w:pStyle w:val="2"/>
        <w:rPr>
          <w:rFonts w:hint="eastAsia"/>
        </w:rPr>
      </w:pPr>
    </w:p>
    <w:p>
      <w:pPr>
        <w:adjustRightInd w:val="0"/>
        <w:spacing w:line="400" w:lineRule="exact"/>
        <w:jc w:val="center"/>
        <w:rPr>
          <w:rFonts w:hint="eastAsia" w:ascii="宋体" w:hAnsi="宋体"/>
          <w:b/>
          <w:sz w:val="24"/>
          <w:szCs w:val="24"/>
        </w:rPr>
      </w:pPr>
      <w:bookmarkStart w:id="6" w:name="_Hlk44668870"/>
      <w:r>
        <w:rPr>
          <w:rFonts w:hint="eastAsia" w:ascii="宋体" w:hAnsi="宋体"/>
          <w:b/>
          <w:sz w:val="24"/>
          <w:szCs w:val="24"/>
        </w:rPr>
        <w:t>附录3 资格审查条件（信誉最低要求）</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9"/>
              <w:spacing w:before="0" w:beforeAutospacing="0" w:after="0" w:afterAutospacing="0" w:line="360" w:lineRule="auto"/>
              <w:ind w:firstLine="0"/>
              <w:contextualSpacing/>
              <w:jc w:val="center"/>
              <w:rPr>
                <w:sz w:val="21"/>
                <w:szCs w:val="21"/>
              </w:rPr>
            </w:pPr>
            <w:r>
              <w:rPr>
                <w:rFonts w:hint="eastAsia"/>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9286" w:type="dxa"/>
            <w:vAlign w:val="center"/>
          </w:tcPr>
          <w:p>
            <w:pPr>
              <w:spacing w:line="276" w:lineRule="auto"/>
              <w:ind w:left="-62" w:leftChars="-22" w:firstLine="488"/>
              <w:rPr>
                <w:rFonts w:ascii="宋体" w:hAnsi="宋体"/>
                <w:sz w:val="21"/>
                <w:szCs w:val="21"/>
              </w:rPr>
            </w:pPr>
            <w:r>
              <w:rPr>
                <w:rFonts w:hint="eastAsia" w:ascii="宋体" w:hAnsi="宋体"/>
                <w:sz w:val="21"/>
                <w:szCs w:val="21"/>
              </w:rPr>
              <w:t>投标人在近1年（20</w:t>
            </w:r>
            <w:r>
              <w:rPr>
                <w:rFonts w:ascii="宋体" w:hAnsi="宋体"/>
                <w:sz w:val="21"/>
                <w:szCs w:val="21"/>
              </w:rPr>
              <w:t>2</w:t>
            </w:r>
            <w:r>
              <w:rPr>
                <w:rFonts w:hint="eastAsia" w:ascii="宋体" w:hAnsi="宋体"/>
                <w:sz w:val="21"/>
                <w:szCs w:val="21"/>
              </w:rPr>
              <w:t>1年7月1日至今）中不曾在土地项目中违约而被驱逐或因投标人自身的原因而使土地项目合同被解除。</w:t>
            </w:r>
          </w:p>
        </w:tc>
      </w:tr>
      <w:bookmarkEnd w:id="6"/>
    </w:tbl>
    <w:p>
      <w:pPr>
        <w:adjustRightInd w:val="0"/>
        <w:spacing w:line="400" w:lineRule="exact"/>
        <w:jc w:val="center"/>
        <w:rPr>
          <w:rFonts w:hint="eastAsia" w:ascii="宋体" w:hAnsi="宋体"/>
          <w:b/>
          <w:sz w:val="24"/>
          <w:szCs w:val="24"/>
        </w:rPr>
      </w:pPr>
    </w:p>
    <w:p>
      <w:pPr>
        <w:pStyle w:val="2"/>
      </w:pPr>
    </w:p>
    <w:p>
      <w:pPr>
        <w:adjustRightInd w:val="0"/>
        <w:spacing w:line="400" w:lineRule="exact"/>
        <w:jc w:val="center"/>
        <w:rPr>
          <w:rFonts w:hint="eastAsia" w:ascii="宋体" w:hAnsi="宋体"/>
          <w:b/>
          <w:sz w:val="24"/>
          <w:szCs w:val="24"/>
        </w:rPr>
      </w:pPr>
      <w:bookmarkStart w:id="7" w:name="_Hlk78363482"/>
      <w:r>
        <w:rPr>
          <w:rFonts w:hint="eastAsia" w:ascii="宋体" w:hAnsi="宋体"/>
          <w:b/>
          <w:sz w:val="24"/>
          <w:szCs w:val="24"/>
        </w:rPr>
        <w:t>附录</w:t>
      </w:r>
      <w:bookmarkStart w:id="8" w:name="_Hlk515531639"/>
      <w:r>
        <w:rPr>
          <w:rFonts w:hint="eastAsia" w:ascii="宋体" w:hAnsi="宋体"/>
          <w:b/>
          <w:sz w:val="24"/>
          <w:szCs w:val="24"/>
        </w:rPr>
        <w:t>4  资格审查条件（项目负责人最低要求）</w:t>
      </w:r>
      <w:bookmarkEnd w:id="8"/>
    </w:p>
    <w:bookmarkEnd w:id="7"/>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0"/>
        <w:gridCol w:w="1149"/>
        <w:gridCol w:w="6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jc w:val="center"/>
        </w:trPr>
        <w:tc>
          <w:tcPr>
            <w:tcW w:w="1950" w:type="dxa"/>
            <w:vAlign w:val="center"/>
          </w:tcPr>
          <w:p>
            <w:pPr>
              <w:pStyle w:val="9"/>
              <w:spacing w:before="0" w:beforeAutospacing="0" w:after="0" w:afterAutospacing="0" w:line="360" w:lineRule="auto"/>
              <w:ind w:firstLine="0"/>
              <w:contextualSpacing/>
              <w:jc w:val="center"/>
              <w:rPr>
                <w:sz w:val="21"/>
                <w:szCs w:val="21"/>
              </w:rPr>
            </w:pPr>
            <w:bookmarkStart w:id="9" w:name="_Hlk78363493"/>
            <w:r>
              <w:rPr>
                <w:rFonts w:hint="eastAsia"/>
                <w:sz w:val="21"/>
                <w:szCs w:val="21"/>
              </w:rPr>
              <w:t>人   员</w:t>
            </w:r>
          </w:p>
        </w:tc>
        <w:tc>
          <w:tcPr>
            <w:tcW w:w="1149" w:type="dxa"/>
            <w:vAlign w:val="center"/>
          </w:tcPr>
          <w:p>
            <w:pPr>
              <w:pStyle w:val="9"/>
              <w:spacing w:before="0" w:beforeAutospacing="0" w:after="0" w:afterAutospacing="0" w:line="360" w:lineRule="auto"/>
              <w:ind w:firstLine="0"/>
              <w:contextualSpacing/>
              <w:jc w:val="center"/>
              <w:rPr>
                <w:rFonts w:hint="eastAsia"/>
                <w:sz w:val="21"/>
                <w:szCs w:val="21"/>
              </w:rPr>
            </w:pPr>
            <w:r>
              <w:rPr>
                <w:rFonts w:hint="eastAsia"/>
                <w:sz w:val="21"/>
                <w:szCs w:val="21"/>
              </w:rPr>
              <w:t>数量</w:t>
            </w:r>
          </w:p>
        </w:tc>
        <w:tc>
          <w:tcPr>
            <w:tcW w:w="6369" w:type="dxa"/>
            <w:vAlign w:val="center"/>
          </w:tcPr>
          <w:p>
            <w:pPr>
              <w:pStyle w:val="9"/>
              <w:spacing w:before="0" w:beforeAutospacing="0" w:after="0" w:afterAutospacing="0" w:line="360" w:lineRule="auto"/>
              <w:ind w:firstLine="0"/>
              <w:contextualSpacing/>
              <w:jc w:val="center"/>
              <w:rPr>
                <w:sz w:val="21"/>
                <w:szCs w:val="21"/>
              </w:rPr>
            </w:pPr>
            <w:r>
              <w:rPr>
                <w:rFonts w:hint="eastAsia"/>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1950" w:type="dxa"/>
            <w:vAlign w:val="center"/>
          </w:tcPr>
          <w:p>
            <w:pPr>
              <w:jc w:val="center"/>
              <w:rPr>
                <w:rFonts w:hint="eastAsia" w:ascii="宋体" w:hAnsi="宋体"/>
                <w:sz w:val="21"/>
                <w:szCs w:val="21"/>
              </w:rPr>
            </w:pPr>
            <w:bookmarkStart w:id="10" w:name="_Hlk78363518"/>
            <w:r>
              <w:rPr>
                <w:rFonts w:hint="eastAsia" w:ascii="宋体" w:hAnsi="宋体"/>
                <w:sz w:val="21"/>
                <w:szCs w:val="21"/>
              </w:rPr>
              <w:t>项目负责人</w:t>
            </w:r>
            <w:bookmarkEnd w:id="10"/>
          </w:p>
        </w:tc>
        <w:tc>
          <w:tcPr>
            <w:tcW w:w="1149" w:type="dxa"/>
            <w:vAlign w:val="center"/>
          </w:tcPr>
          <w:p>
            <w:pPr>
              <w:jc w:val="center"/>
              <w:rPr>
                <w:rFonts w:hint="eastAsia" w:ascii="宋体" w:hAnsi="宋体"/>
                <w:sz w:val="21"/>
                <w:szCs w:val="21"/>
              </w:rPr>
            </w:pPr>
            <w:r>
              <w:rPr>
                <w:rFonts w:hint="eastAsia" w:ascii="宋体" w:hAnsi="宋体"/>
                <w:sz w:val="21"/>
                <w:szCs w:val="21"/>
              </w:rPr>
              <w:t>1</w:t>
            </w:r>
          </w:p>
        </w:tc>
        <w:tc>
          <w:tcPr>
            <w:tcW w:w="6369" w:type="dxa"/>
            <w:vAlign w:val="center"/>
          </w:tcPr>
          <w:p>
            <w:pPr>
              <w:spacing w:line="276" w:lineRule="auto"/>
              <w:jc w:val="left"/>
              <w:rPr>
                <w:rFonts w:hint="eastAsia" w:ascii="宋体" w:hAnsi="宋体"/>
                <w:sz w:val="21"/>
                <w:szCs w:val="21"/>
              </w:rPr>
            </w:pPr>
            <w:r>
              <w:rPr>
                <w:rFonts w:hint="eastAsia" w:ascii="宋体" w:hAnsi="宋体"/>
                <w:sz w:val="21"/>
                <w:szCs w:val="21"/>
              </w:rPr>
              <w:t>具备中级及以上职称（国土相关专业），近3年内(2019年7月1日至今，以合同签订日期为准)</w:t>
            </w:r>
            <w:r>
              <w:rPr>
                <w:rFonts w:hint="eastAsia" w:ascii="宋体" w:hAnsi="宋体"/>
                <w:kern w:val="2"/>
                <w:sz w:val="21"/>
                <w:szCs w:val="21"/>
              </w:rPr>
              <w:t xml:space="preserve"> 至少</w:t>
            </w:r>
            <w:r>
              <w:rPr>
                <w:rFonts w:hint="eastAsia" w:ascii="宋体" w:hAnsi="宋体"/>
                <w:sz w:val="21"/>
                <w:szCs w:val="21"/>
              </w:rPr>
              <w:t>独立完成过</w:t>
            </w:r>
            <w:r>
              <w:rPr>
                <w:rFonts w:hint="eastAsia" w:ascii="宋体" w:hAnsi="宋体"/>
                <w:kern w:val="2"/>
                <w:sz w:val="21"/>
                <w:szCs w:val="21"/>
              </w:rPr>
              <w:t>1项</w:t>
            </w:r>
            <w:r>
              <w:rPr>
                <w:rFonts w:hint="eastAsia" w:ascii="宋体" w:hAnsi="宋体"/>
                <w:sz w:val="21"/>
                <w:szCs w:val="21"/>
              </w:rPr>
              <w:t>高速公路土地组卷业绩（包含主线和附属工程）。</w:t>
            </w:r>
          </w:p>
        </w:tc>
      </w:tr>
      <w:bookmarkEnd w:id="9"/>
    </w:tbl>
    <w:p>
      <w:pPr>
        <w:spacing w:line="400" w:lineRule="exact"/>
        <w:rPr>
          <w:rFonts w:hint="eastAsia" w:ascii="宋体" w:hAnsi="宋体"/>
          <w:b/>
          <w:sz w:val="24"/>
        </w:rPr>
      </w:pPr>
      <w:bookmarkStart w:id="32" w:name="_GoBack"/>
      <w:bookmarkEnd w:id="32"/>
      <w:r>
        <w:rPr>
          <w:rFonts w:ascii="宋体" w:hAnsi="宋体"/>
        </w:rPr>
        <w:br w:type="page"/>
      </w:r>
      <w:r>
        <w:rPr>
          <w:rFonts w:hint="eastAsia" w:ascii="宋体" w:hAnsi="宋体"/>
          <w:b/>
          <w:sz w:val="24"/>
        </w:rPr>
        <w:t>附件2：评标办法</w:t>
      </w:r>
    </w:p>
    <w:p>
      <w:pPr>
        <w:pStyle w:val="24"/>
        <w:spacing w:line="276" w:lineRule="auto"/>
        <w:rPr>
          <w:rFonts w:hint="eastAsia" w:ascii="宋体" w:hAnsi="宋体" w:eastAsia="宋体"/>
          <w:sz w:val="30"/>
          <w:szCs w:val="30"/>
        </w:rPr>
      </w:pPr>
      <w:bookmarkStart w:id="11" w:name="_Hlk78363556"/>
      <w:bookmarkStart w:id="12" w:name="_Toc514238202"/>
      <w:bookmarkStart w:id="13" w:name="_Toc47036134"/>
      <w:bookmarkStart w:id="14" w:name="_Toc450319202"/>
      <w:bookmarkStart w:id="15" w:name="_Toc509659998"/>
      <w:bookmarkStart w:id="16" w:name="_Toc509660966"/>
      <w:bookmarkStart w:id="17" w:name="_Toc459307890"/>
      <w:bookmarkStart w:id="18" w:name="_Toc502992691"/>
      <w:bookmarkStart w:id="19" w:name="_Toc444271617"/>
      <w:bookmarkStart w:id="20" w:name="_Toc445222503"/>
      <w:bookmarkStart w:id="21" w:name="_Toc445382083"/>
      <w:bookmarkStart w:id="22" w:name="_Toc444088432"/>
      <w:r>
        <w:rPr>
          <w:rFonts w:hint="eastAsia" w:ascii="宋体" w:hAnsi="宋体" w:eastAsia="宋体"/>
          <w:sz w:val="30"/>
          <w:szCs w:val="30"/>
        </w:rPr>
        <w:t>评标办法</w:t>
      </w:r>
      <w:bookmarkEnd w:id="11"/>
      <w:r>
        <w:rPr>
          <w:rFonts w:hint="eastAsia" w:ascii="宋体" w:hAnsi="宋体" w:eastAsia="宋体"/>
          <w:sz w:val="30"/>
          <w:szCs w:val="30"/>
        </w:rPr>
        <w:t>（综合评估法）</w:t>
      </w:r>
      <w:bookmarkEnd w:id="12"/>
      <w:bookmarkEnd w:id="13"/>
      <w:bookmarkEnd w:id="14"/>
      <w:bookmarkEnd w:id="15"/>
      <w:bookmarkEnd w:id="16"/>
      <w:bookmarkEnd w:id="17"/>
      <w:bookmarkEnd w:id="18"/>
    </w:p>
    <w:p>
      <w:pPr>
        <w:pStyle w:val="24"/>
        <w:spacing w:line="276" w:lineRule="auto"/>
        <w:jc w:val="both"/>
        <w:rPr>
          <w:rFonts w:ascii="宋体" w:hAnsi="宋体" w:eastAsia="宋体"/>
          <w:sz w:val="24"/>
          <w:szCs w:val="30"/>
        </w:rPr>
      </w:pPr>
      <w:bookmarkStart w:id="23" w:name="_Toc514238203"/>
      <w:bookmarkStart w:id="24" w:name="_Toc47036135"/>
      <w:r>
        <w:rPr>
          <w:rFonts w:hint="eastAsia" w:ascii="宋体" w:hAnsi="宋体" w:eastAsia="宋体"/>
          <w:sz w:val="24"/>
          <w:szCs w:val="30"/>
        </w:rPr>
        <w:t>评标办法前附表</w:t>
      </w:r>
      <w:bookmarkEnd w:id="23"/>
      <w:bookmarkEnd w:id="24"/>
    </w:p>
    <w:bookmarkEnd w:id="1"/>
    <w:bookmarkEnd w:id="19"/>
    <w:bookmarkEnd w:id="20"/>
    <w:bookmarkEnd w:id="21"/>
    <w:bookmarkEnd w:id="22"/>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49"/>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44" w:type="dxa"/>
            <w:vAlign w:val="center"/>
          </w:tcPr>
          <w:p>
            <w:pPr>
              <w:jc w:val="center"/>
              <w:rPr>
                <w:rFonts w:ascii="宋体" w:hAnsi="宋体"/>
                <w:sz w:val="21"/>
                <w:szCs w:val="21"/>
              </w:rPr>
            </w:pPr>
            <w:bookmarkStart w:id="25" w:name="_Toc478141167"/>
            <w:bookmarkStart w:id="26" w:name="_Toc472700283"/>
            <w:bookmarkStart w:id="27" w:name="_Toc456619522"/>
            <w:bookmarkStart w:id="28" w:name="_Toc459307892"/>
            <w:bookmarkStart w:id="29" w:name="_Toc476561971"/>
            <w:r>
              <w:rPr>
                <w:rFonts w:hint="eastAsia" w:ascii="宋体" w:hAnsi="宋体"/>
                <w:sz w:val="21"/>
                <w:szCs w:val="21"/>
              </w:rPr>
              <w:t>条款号</w:t>
            </w:r>
          </w:p>
        </w:tc>
        <w:tc>
          <w:tcPr>
            <w:tcW w:w="1149" w:type="dxa"/>
            <w:vAlign w:val="center"/>
          </w:tcPr>
          <w:p>
            <w:pPr>
              <w:rPr>
                <w:rFonts w:ascii="宋体" w:hAnsi="宋体"/>
                <w:sz w:val="21"/>
                <w:szCs w:val="21"/>
              </w:rPr>
            </w:pPr>
            <w:r>
              <w:rPr>
                <w:rFonts w:hint="eastAsia" w:ascii="宋体" w:hAnsi="宋体"/>
                <w:sz w:val="21"/>
                <w:szCs w:val="21"/>
              </w:rPr>
              <w:t>条款名称</w:t>
            </w:r>
          </w:p>
        </w:tc>
        <w:tc>
          <w:tcPr>
            <w:tcW w:w="7250" w:type="dxa"/>
            <w:vAlign w:val="center"/>
          </w:tcPr>
          <w:p>
            <w:pPr>
              <w:jc w:val="center"/>
              <w:rPr>
                <w:rFonts w:ascii="宋体" w:hAnsi="宋体"/>
                <w:sz w:val="21"/>
                <w:szCs w:val="21"/>
              </w:rPr>
            </w:pPr>
            <w:r>
              <w:rPr>
                <w:rFonts w:hint="eastAsia" w:ascii="宋体" w:hAnsi="宋体"/>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44" w:type="dxa"/>
            <w:vAlign w:val="center"/>
          </w:tcPr>
          <w:p>
            <w:pPr>
              <w:jc w:val="center"/>
              <w:rPr>
                <w:rFonts w:ascii="宋体" w:hAnsi="宋体"/>
                <w:sz w:val="21"/>
                <w:szCs w:val="21"/>
              </w:rPr>
            </w:pPr>
            <w:r>
              <w:rPr>
                <w:rFonts w:hint="eastAsia" w:ascii="宋体" w:hAnsi="宋体"/>
                <w:sz w:val="21"/>
                <w:szCs w:val="21"/>
              </w:rPr>
              <w:t>1</w:t>
            </w:r>
          </w:p>
        </w:tc>
        <w:tc>
          <w:tcPr>
            <w:tcW w:w="1149" w:type="dxa"/>
            <w:vAlign w:val="center"/>
          </w:tcPr>
          <w:p>
            <w:pPr>
              <w:jc w:val="center"/>
              <w:rPr>
                <w:rFonts w:hint="eastAsia" w:ascii="宋体" w:hAnsi="宋体"/>
                <w:sz w:val="21"/>
                <w:szCs w:val="21"/>
              </w:rPr>
            </w:pPr>
            <w:r>
              <w:rPr>
                <w:rFonts w:hint="eastAsia" w:ascii="宋体" w:hAnsi="宋体"/>
                <w:sz w:val="21"/>
                <w:szCs w:val="21"/>
              </w:rPr>
              <w:t>评标</w:t>
            </w:r>
          </w:p>
          <w:p>
            <w:pPr>
              <w:jc w:val="center"/>
              <w:rPr>
                <w:rFonts w:ascii="宋体" w:hAnsi="宋体"/>
                <w:sz w:val="21"/>
                <w:szCs w:val="21"/>
              </w:rPr>
            </w:pPr>
            <w:r>
              <w:rPr>
                <w:rFonts w:hint="eastAsia" w:ascii="宋体" w:hAnsi="宋体"/>
                <w:sz w:val="21"/>
                <w:szCs w:val="21"/>
              </w:rPr>
              <w:t>办法</w:t>
            </w:r>
          </w:p>
        </w:tc>
        <w:tc>
          <w:tcPr>
            <w:tcW w:w="7250" w:type="dxa"/>
            <w:vAlign w:val="center"/>
          </w:tcPr>
          <w:p>
            <w:pPr>
              <w:spacing w:line="288" w:lineRule="auto"/>
              <w:ind w:firstLine="404" w:firstLineChars="200"/>
              <w:jc w:val="left"/>
              <w:rPr>
                <w:rFonts w:hint="eastAsia" w:ascii="宋体" w:hAnsi="宋体"/>
                <w:spacing w:val="-4"/>
                <w:sz w:val="21"/>
                <w:szCs w:val="21"/>
              </w:rPr>
            </w:pPr>
            <w:r>
              <w:rPr>
                <w:rFonts w:hint="eastAsia" w:ascii="宋体" w:hAnsi="宋体"/>
                <w:spacing w:val="-4"/>
                <w:sz w:val="21"/>
                <w:szCs w:val="21"/>
              </w:rPr>
              <w:t>本次评标采用综合评估法。评标委员会对满足招标文件实质性要求的投标文件，按照本章第2.2款规定的评分标准进行打分，并按得分由高到低顺序推荐1</w:t>
            </w:r>
            <w:r>
              <w:rPr>
                <w:rFonts w:ascii="宋体" w:hAnsi="宋体"/>
                <w:spacing w:val="-4"/>
                <w:sz w:val="21"/>
                <w:szCs w:val="21"/>
              </w:rPr>
              <w:t>-3</w:t>
            </w:r>
            <w:r>
              <w:rPr>
                <w:rFonts w:hint="eastAsia" w:ascii="宋体" w:hAnsi="宋体"/>
                <w:spacing w:val="-4"/>
                <w:sz w:val="21"/>
                <w:szCs w:val="21"/>
              </w:rPr>
              <w:t>名中标候选人。当综合评分相等时，评标委员会依次按照以下优先顺序推荐中标候选人：</w:t>
            </w:r>
          </w:p>
          <w:p>
            <w:pPr>
              <w:spacing w:line="288" w:lineRule="auto"/>
              <w:ind w:left="273" w:leftChars="97" w:hanging="1"/>
              <w:jc w:val="left"/>
              <w:rPr>
                <w:rFonts w:hint="eastAsia" w:ascii="宋体" w:hAnsi="宋体"/>
                <w:spacing w:val="-4"/>
                <w:sz w:val="21"/>
                <w:szCs w:val="21"/>
              </w:rPr>
            </w:pPr>
            <w:r>
              <w:rPr>
                <w:rFonts w:hint="eastAsia" w:ascii="宋体" w:hAnsi="宋体"/>
                <w:spacing w:val="-4"/>
                <w:sz w:val="21"/>
                <w:szCs w:val="21"/>
              </w:rPr>
              <w:t>（1）评标价低的投标人优先；</w:t>
            </w:r>
          </w:p>
          <w:p>
            <w:pPr>
              <w:spacing w:line="288" w:lineRule="auto"/>
              <w:ind w:firstLine="272"/>
              <w:jc w:val="left"/>
              <w:rPr>
                <w:rFonts w:hint="eastAsia" w:ascii="宋体" w:hAnsi="宋体"/>
                <w:spacing w:val="-4"/>
                <w:sz w:val="21"/>
                <w:szCs w:val="21"/>
              </w:rPr>
            </w:pPr>
            <w:r>
              <w:rPr>
                <w:rFonts w:hint="eastAsia" w:ascii="宋体" w:hAnsi="宋体"/>
                <w:spacing w:val="-4"/>
                <w:sz w:val="21"/>
                <w:szCs w:val="21"/>
              </w:rPr>
              <w:t>（2）投标人满足资格审查条件(业绩最低条件)要求的业绩数量较多的投标人优先。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44" w:type="dxa"/>
            <w:vAlign w:val="center"/>
          </w:tcPr>
          <w:p>
            <w:pPr>
              <w:jc w:val="center"/>
              <w:rPr>
                <w:rFonts w:hint="eastAsia" w:ascii="宋体" w:hAnsi="宋体"/>
                <w:sz w:val="21"/>
                <w:szCs w:val="21"/>
              </w:rPr>
            </w:pPr>
            <w:r>
              <w:rPr>
                <w:rFonts w:hint="eastAsia" w:ascii="宋体" w:hAnsi="宋体"/>
                <w:sz w:val="21"/>
                <w:szCs w:val="21"/>
              </w:rPr>
              <w:t>2.1.1</w:t>
            </w:r>
          </w:p>
          <w:p>
            <w:pPr>
              <w:jc w:val="center"/>
              <w:rPr>
                <w:rFonts w:hint="eastAsia" w:ascii="宋体" w:hAnsi="宋体"/>
                <w:sz w:val="21"/>
                <w:szCs w:val="21"/>
              </w:rPr>
            </w:pPr>
            <w:r>
              <w:rPr>
                <w:rFonts w:hint="eastAsia" w:ascii="宋体" w:hAnsi="宋体"/>
                <w:sz w:val="21"/>
                <w:szCs w:val="21"/>
              </w:rPr>
              <w:t>2.1.3</w:t>
            </w:r>
          </w:p>
        </w:tc>
        <w:tc>
          <w:tcPr>
            <w:tcW w:w="1149" w:type="dxa"/>
            <w:vAlign w:val="center"/>
          </w:tcPr>
          <w:p>
            <w:pPr>
              <w:jc w:val="center"/>
              <w:rPr>
                <w:rFonts w:hint="eastAsia" w:ascii="宋体" w:hAnsi="宋体"/>
                <w:sz w:val="21"/>
                <w:szCs w:val="21"/>
              </w:rPr>
            </w:pPr>
            <w:bookmarkStart w:id="30" w:name="_Hlk78363567"/>
            <w:r>
              <w:rPr>
                <w:rFonts w:hint="eastAsia" w:ascii="宋体" w:hAnsi="宋体"/>
                <w:sz w:val="21"/>
                <w:szCs w:val="21"/>
              </w:rPr>
              <w:t>形式评审与响应性评审标准</w:t>
            </w:r>
            <w:bookmarkEnd w:id="30"/>
          </w:p>
        </w:tc>
        <w:tc>
          <w:tcPr>
            <w:tcW w:w="7250" w:type="dxa"/>
          </w:tcPr>
          <w:p>
            <w:pPr>
              <w:tabs>
                <w:tab w:val="left" w:pos="3060"/>
              </w:tabs>
              <w:spacing w:line="320" w:lineRule="exact"/>
              <w:rPr>
                <w:rFonts w:hint="eastAsia" w:ascii="宋体" w:hAnsi="宋体"/>
                <w:b/>
                <w:sz w:val="21"/>
                <w:szCs w:val="21"/>
              </w:rPr>
            </w:pPr>
            <w:r>
              <w:rPr>
                <w:rFonts w:hint="eastAsia" w:ascii="宋体" w:hAnsi="宋体"/>
                <w:b/>
                <w:sz w:val="21"/>
                <w:szCs w:val="21"/>
              </w:rPr>
              <w:t>第一个信封（商务及技术文件）评审标准:</w:t>
            </w:r>
          </w:p>
          <w:p>
            <w:pPr>
              <w:tabs>
                <w:tab w:val="left" w:pos="3060"/>
              </w:tabs>
              <w:spacing w:line="320" w:lineRule="exact"/>
              <w:ind w:firstLine="210" w:firstLineChars="100"/>
              <w:rPr>
                <w:rFonts w:hint="eastAsia" w:ascii="宋体" w:hAnsi="宋体"/>
                <w:bCs/>
                <w:sz w:val="21"/>
                <w:szCs w:val="21"/>
              </w:rPr>
            </w:pPr>
            <w:r>
              <w:rPr>
                <w:rFonts w:hint="eastAsia" w:ascii="宋体" w:hAnsi="宋体"/>
                <w:bCs/>
                <w:sz w:val="21"/>
                <w:szCs w:val="21"/>
              </w:rPr>
              <w:t>（1）投标文件按照招标文件规定的格式、内容填写，字迹清晰可辨：</w:t>
            </w:r>
          </w:p>
          <w:p>
            <w:pPr>
              <w:tabs>
                <w:tab w:val="left" w:pos="3060"/>
              </w:tabs>
              <w:spacing w:line="320" w:lineRule="exact"/>
              <w:ind w:firstLine="210" w:firstLineChars="100"/>
              <w:rPr>
                <w:rFonts w:hint="eastAsia" w:ascii="宋体" w:hAnsi="宋体"/>
                <w:bCs/>
                <w:sz w:val="21"/>
                <w:szCs w:val="21"/>
              </w:rPr>
            </w:pPr>
            <w:r>
              <w:rPr>
                <w:rFonts w:hint="eastAsia" w:ascii="宋体" w:hAnsi="宋体"/>
                <w:bCs/>
                <w:sz w:val="21"/>
                <w:szCs w:val="21"/>
              </w:rPr>
              <w:t>a.投标函按招标文件规定填报了项目名称、补遗书编号（如有）、项目负责人信息、质量要求、安全目标、服务期；</w:t>
            </w:r>
          </w:p>
          <w:p>
            <w:pPr>
              <w:tabs>
                <w:tab w:val="left" w:pos="3060"/>
              </w:tabs>
              <w:spacing w:line="320" w:lineRule="exact"/>
              <w:ind w:firstLine="210" w:firstLineChars="100"/>
              <w:rPr>
                <w:rFonts w:ascii="宋体" w:hAnsi="宋体"/>
                <w:bCs/>
                <w:sz w:val="21"/>
                <w:szCs w:val="21"/>
              </w:rPr>
            </w:pPr>
            <w:r>
              <w:rPr>
                <w:rFonts w:hint="eastAsia" w:ascii="宋体" w:hAnsi="宋体"/>
                <w:bCs/>
                <w:sz w:val="21"/>
                <w:szCs w:val="21"/>
              </w:rPr>
              <w:t>b.投标文件组成齐全完整，内容均按规定填写；</w:t>
            </w:r>
          </w:p>
          <w:p>
            <w:pPr>
              <w:tabs>
                <w:tab w:val="left" w:pos="3060"/>
              </w:tabs>
              <w:spacing w:line="320" w:lineRule="exact"/>
              <w:ind w:firstLine="210" w:firstLineChars="100"/>
              <w:rPr>
                <w:rFonts w:hint="eastAsia" w:ascii="宋体" w:hAnsi="宋体"/>
                <w:bCs/>
                <w:sz w:val="21"/>
                <w:szCs w:val="21"/>
              </w:rPr>
            </w:pPr>
            <w:r>
              <w:rPr>
                <w:rFonts w:hint="eastAsia" w:ascii="宋体" w:hAnsi="宋体"/>
                <w:bCs/>
                <w:sz w:val="21"/>
                <w:szCs w:val="21"/>
              </w:rPr>
              <w:t>（2）投标文件上法定代表人或其授权代理人的签字、投标人的单位章盖章齐全，符合招标文件规定。</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（3）投标人按照招标文件的规定提供了投标保证金：</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a.投标保证金金额符合招标文件规定的金额，且投标保证金有效期不少于投标有效期；</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b.若投标保证金采用现金或支票形式提交，投标人应在递交投标文件截止时间之前，将投标保证金由投标人的基本账户转入招标人指定账户；</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（4）投标人法定代表人授权委托代理人签署投标文件的，须提交授权委托</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书，并符合下列要求：</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a.法定代表人和委托代理人均在授权书上签名；</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b.投标函签署的日期与授权委托书出具的日期同日或在其之后，并与投标</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截止时间同日或在其之前；</w:t>
            </w:r>
          </w:p>
          <w:p>
            <w:pPr>
              <w:tabs>
                <w:tab w:val="left" w:pos="3060"/>
              </w:tabs>
              <w:spacing w:line="320" w:lineRule="exact"/>
              <w:ind w:firstLine="210" w:firstLineChars="100"/>
              <w:rPr>
                <w:rFonts w:ascii="宋体" w:hAnsi="宋体"/>
                <w:sz w:val="21"/>
                <w:szCs w:val="21"/>
              </w:rPr>
            </w:pPr>
            <w:r>
              <w:rPr>
                <w:rFonts w:hint="eastAsia" w:ascii="宋体" w:hAnsi="宋体"/>
                <w:sz w:val="21"/>
                <w:szCs w:val="21"/>
              </w:rPr>
              <w:t>c.授权委托书只能授权给一名委托代理人。</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（5）投标人法定代表人亲自签署投标文件的，提供了法定代表人身份证明，</w:t>
            </w:r>
          </w:p>
          <w:p>
            <w:pPr>
              <w:tabs>
                <w:tab w:val="left" w:pos="3060"/>
              </w:tabs>
              <w:spacing w:line="320" w:lineRule="exact"/>
              <w:jc w:val="left"/>
              <w:rPr>
                <w:rFonts w:ascii="宋体" w:hAnsi="宋体"/>
                <w:sz w:val="21"/>
                <w:szCs w:val="21"/>
              </w:rPr>
            </w:pPr>
            <w:r>
              <w:rPr>
                <w:rFonts w:hint="eastAsia" w:ascii="宋体" w:hAnsi="宋体"/>
                <w:sz w:val="21"/>
                <w:szCs w:val="21"/>
              </w:rPr>
              <w:t>法定代表人在法定代表人身份证明上签名。</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（6）投标人未以联合体形式投标。</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7</w:t>
            </w:r>
            <w:r>
              <w:rPr>
                <w:rFonts w:hint="eastAsia" w:ascii="宋体" w:hAnsi="宋体"/>
                <w:sz w:val="21"/>
                <w:szCs w:val="21"/>
              </w:rPr>
              <w:t>）</w:t>
            </w:r>
            <w:r>
              <w:rPr>
                <w:rFonts w:ascii="宋体" w:hAnsi="宋体"/>
                <w:sz w:val="21"/>
                <w:szCs w:val="21"/>
              </w:rPr>
              <w:t>投标人未对本项目提出分包计划</w:t>
            </w:r>
            <w:r>
              <w:rPr>
                <w:rFonts w:hint="eastAsia" w:ascii="宋体" w:hAnsi="宋体"/>
                <w:sz w:val="21"/>
                <w:szCs w:val="21"/>
              </w:rPr>
              <w:t>。</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8</w:t>
            </w:r>
            <w:r>
              <w:rPr>
                <w:rFonts w:hint="eastAsia" w:ascii="宋体" w:hAnsi="宋体"/>
                <w:sz w:val="21"/>
                <w:szCs w:val="21"/>
              </w:rPr>
              <w:t>）同一投标人未提交两个以上不同的投标文件。</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9</w:t>
            </w:r>
            <w:r>
              <w:rPr>
                <w:rFonts w:hint="eastAsia" w:ascii="宋体" w:hAnsi="宋体"/>
                <w:sz w:val="21"/>
                <w:szCs w:val="21"/>
              </w:rPr>
              <w:t>）投标文件中未出现有关投标报价的内容。</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10</w:t>
            </w:r>
            <w:r>
              <w:rPr>
                <w:rFonts w:hint="eastAsia" w:ascii="宋体" w:hAnsi="宋体"/>
                <w:sz w:val="21"/>
                <w:szCs w:val="21"/>
              </w:rPr>
              <w:t>）投标文件载明的招标项目完成期限未超过招标文件规定的时限。</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11</w:t>
            </w:r>
            <w:r>
              <w:rPr>
                <w:rFonts w:hint="eastAsia" w:ascii="宋体" w:hAnsi="宋体"/>
                <w:sz w:val="21"/>
                <w:szCs w:val="21"/>
              </w:rPr>
              <w:t>）投标文件对招标文件的实质性要求和条件作出响应。</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（1</w:t>
            </w:r>
            <w:r>
              <w:rPr>
                <w:rFonts w:ascii="宋体" w:hAnsi="宋体"/>
                <w:sz w:val="21"/>
                <w:szCs w:val="21"/>
              </w:rPr>
              <w:t>2</w:t>
            </w:r>
            <w:r>
              <w:rPr>
                <w:rFonts w:hint="eastAsia" w:ascii="宋体" w:hAnsi="宋体"/>
                <w:sz w:val="21"/>
                <w:szCs w:val="21"/>
              </w:rPr>
              <w:t>）权利义务符合招标文件规定：</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a.投标人应接受招标文件规定的风险划分原则，未提出新的风险划分办法；</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b.投标人未增加发包人的责任范围，或减少投标人义务；</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c.投标人未提出不同的支付办法；</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d.投标人对合同纠纷、事故处理办法未提出异议；</w:t>
            </w:r>
          </w:p>
          <w:p>
            <w:pPr>
              <w:pStyle w:val="2"/>
              <w:ind w:firstLine="210" w:firstLineChars="100"/>
              <w:rPr>
                <w:rFonts w:hint="eastAsia" w:ascii="宋体" w:hAnsi="宋体"/>
                <w:sz w:val="21"/>
                <w:szCs w:val="21"/>
              </w:rPr>
            </w:pPr>
            <w:r>
              <w:rPr>
                <w:rFonts w:hint="eastAsia" w:ascii="宋体" w:hAnsi="宋体"/>
                <w:sz w:val="21"/>
                <w:szCs w:val="21"/>
              </w:rPr>
              <w:t>e.投标人在投标活动中无欺诈行为；</w:t>
            </w:r>
          </w:p>
          <w:p>
            <w:pPr>
              <w:pStyle w:val="2"/>
              <w:ind w:firstLine="210" w:firstLineChars="100"/>
              <w:rPr>
                <w:rFonts w:hint="eastAsia" w:ascii="宋体" w:hAnsi="宋体"/>
                <w:sz w:val="21"/>
                <w:szCs w:val="21"/>
              </w:rPr>
            </w:pPr>
            <w:r>
              <w:rPr>
                <w:rFonts w:hint="eastAsia" w:ascii="宋体" w:hAnsi="宋体"/>
                <w:sz w:val="21"/>
                <w:szCs w:val="21"/>
              </w:rPr>
              <w:t>f.投标人未对合同条款有重要保留。</w:t>
            </w:r>
          </w:p>
          <w:p>
            <w:pPr>
              <w:pStyle w:val="2"/>
              <w:ind w:firstLine="210" w:firstLineChars="100"/>
              <w:rPr>
                <w:rFonts w:hint="eastAsia" w:ascii="宋体" w:hAnsi="宋体"/>
                <w:sz w:val="21"/>
                <w:szCs w:val="21"/>
              </w:rPr>
            </w:pPr>
            <w:r>
              <w:rPr>
                <w:rFonts w:hint="eastAsia" w:ascii="宋体" w:hAnsi="宋体"/>
                <w:sz w:val="21"/>
                <w:szCs w:val="21"/>
              </w:rPr>
              <w:t>（13）与所投标段的其他投标人不存在控股、管理关系或单位负责人为同一人的情况；与招标人也不存在利害关系并可能影响招标公正性。</w:t>
            </w:r>
          </w:p>
          <w:p>
            <w:pPr>
              <w:tabs>
                <w:tab w:val="left" w:pos="3060"/>
              </w:tabs>
              <w:spacing w:line="320" w:lineRule="exact"/>
              <w:rPr>
                <w:rFonts w:hint="eastAsia" w:ascii="宋体" w:hAnsi="宋体"/>
                <w:b/>
                <w:sz w:val="21"/>
                <w:szCs w:val="21"/>
              </w:rPr>
            </w:pPr>
            <w:r>
              <w:rPr>
                <w:rFonts w:hint="eastAsia" w:ascii="宋体" w:hAnsi="宋体"/>
                <w:b/>
                <w:sz w:val="21"/>
                <w:szCs w:val="21"/>
              </w:rPr>
              <w:t>第二个信封（报价文件）评审标准：</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（1）投标文件按照招标文件规定的格式、内容填写，字迹清晰可辨，内容齐全完整：</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a.投标函按招标文件规定填报了项目名称、补遗书编号（如有）、投标价（包括大写金额和小写金额）；</w:t>
            </w:r>
          </w:p>
          <w:p>
            <w:pPr>
              <w:tabs>
                <w:tab w:val="left" w:pos="3060"/>
              </w:tabs>
              <w:spacing w:line="320" w:lineRule="exact"/>
              <w:ind w:firstLine="210" w:firstLineChars="100"/>
              <w:rPr>
                <w:rFonts w:hint="eastAsia" w:ascii="宋体" w:hAnsi="宋体"/>
                <w:sz w:val="21"/>
                <w:szCs w:val="21"/>
              </w:rPr>
            </w:pPr>
            <w:r>
              <w:rPr>
                <w:rFonts w:hint="eastAsia" w:ascii="宋体" w:hAnsi="宋体"/>
                <w:sz w:val="21"/>
                <w:szCs w:val="21"/>
              </w:rPr>
              <w:t>b.投标文件组成齐全完整，内容均按规定填写。</w:t>
            </w:r>
          </w:p>
          <w:p>
            <w:pPr>
              <w:tabs>
                <w:tab w:val="left" w:pos="3060"/>
              </w:tabs>
              <w:spacing w:line="320" w:lineRule="exact"/>
              <w:ind w:firstLine="210" w:firstLineChars="100"/>
              <w:rPr>
                <w:rFonts w:hint="eastAsia" w:ascii="宋体" w:hAnsi="宋体"/>
                <w:sz w:val="21"/>
                <w:szCs w:val="21"/>
              </w:rPr>
            </w:pPr>
            <w:r>
              <w:rPr>
                <w:rFonts w:hint="eastAsia" w:ascii="宋体" w:hAnsi="宋体"/>
                <w:bCs/>
                <w:sz w:val="21"/>
                <w:szCs w:val="21"/>
              </w:rPr>
              <w:t>（2）投标文件上法定代表人或其授权代理人的签字、投标人的单位章盖章齐全，符合招标文件规定。</w:t>
            </w:r>
          </w:p>
          <w:p>
            <w:pPr>
              <w:tabs>
                <w:tab w:val="left" w:pos="3060"/>
              </w:tabs>
              <w:spacing w:line="320" w:lineRule="exact"/>
              <w:ind w:firstLine="105" w:firstLineChars="50"/>
              <w:rPr>
                <w:rFonts w:hint="eastAsia" w:ascii="宋体" w:hAnsi="宋体"/>
                <w:sz w:val="21"/>
                <w:szCs w:val="21"/>
              </w:rPr>
            </w:pPr>
            <w:r>
              <w:rPr>
                <w:rFonts w:hint="eastAsia" w:ascii="宋体" w:hAnsi="宋体"/>
                <w:sz w:val="21"/>
                <w:szCs w:val="21"/>
              </w:rPr>
              <w:t>（3）投标报价中的报价未超过招标文件设定的最高投标限价。</w:t>
            </w:r>
          </w:p>
          <w:p>
            <w:pPr>
              <w:tabs>
                <w:tab w:val="left" w:pos="3060"/>
              </w:tabs>
              <w:spacing w:line="320" w:lineRule="exact"/>
              <w:ind w:firstLine="105" w:firstLineChars="50"/>
              <w:rPr>
                <w:rFonts w:hint="eastAsia" w:ascii="宋体" w:hAnsi="宋体"/>
                <w:sz w:val="21"/>
                <w:szCs w:val="21"/>
              </w:rPr>
            </w:pPr>
            <w:r>
              <w:rPr>
                <w:rFonts w:hint="eastAsia" w:ascii="宋体" w:hAnsi="宋体"/>
                <w:sz w:val="21"/>
                <w:szCs w:val="21"/>
              </w:rPr>
              <w:t>（4）投标报价中报价的大写金额能够确定具体数值。</w:t>
            </w:r>
          </w:p>
          <w:p>
            <w:pPr>
              <w:tabs>
                <w:tab w:val="left" w:pos="3060"/>
              </w:tabs>
              <w:spacing w:line="320" w:lineRule="exact"/>
              <w:ind w:firstLine="105" w:firstLineChars="50"/>
              <w:rPr>
                <w:rFonts w:hint="eastAsia" w:ascii="宋体" w:hAnsi="宋体"/>
                <w:sz w:val="21"/>
                <w:szCs w:val="21"/>
              </w:rPr>
            </w:pPr>
            <w:r>
              <w:rPr>
                <w:rFonts w:hint="eastAsia" w:ascii="宋体" w:hAnsi="宋体"/>
                <w:sz w:val="21"/>
                <w:szCs w:val="21"/>
              </w:rPr>
              <w:t>（5）同一投标人未提交两个以上不同的投标报价。</w:t>
            </w:r>
          </w:p>
          <w:p>
            <w:pPr>
              <w:tabs>
                <w:tab w:val="left" w:pos="3060"/>
              </w:tabs>
              <w:spacing w:line="320" w:lineRule="exact"/>
              <w:ind w:firstLine="105" w:firstLineChars="50"/>
              <w:rPr>
                <w:rFonts w:hint="eastAsia"/>
              </w:rPr>
            </w:pPr>
            <w:r>
              <w:rPr>
                <w:rFonts w:hint="eastAsia" w:ascii="宋体" w:hAnsi="宋体"/>
                <w:sz w:val="21"/>
                <w:szCs w:val="21"/>
              </w:rPr>
              <w:t>（6）投标人未提交调价函。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Align w:val="center"/>
          </w:tcPr>
          <w:p>
            <w:pPr>
              <w:jc w:val="center"/>
              <w:rPr>
                <w:rFonts w:ascii="宋体" w:hAnsi="宋体"/>
                <w:sz w:val="21"/>
                <w:szCs w:val="21"/>
              </w:rPr>
            </w:pPr>
            <w:r>
              <w:rPr>
                <w:rFonts w:hint="eastAsia" w:ascii="宋体" w:hAnsi="宋体"/>
                <w:sz w:val="21"/>
                <w:szCs w:val="21"/>
              </w:rPr>
              <w:t>2.1.2</w:t>
            </w:r>
          </w:p>
        </w:tc>
        <w:tc>
          <w:tcPr>
            <w:tcW w:w="1149" w:type="dxa"/>
            <w:vAlign w:val="center"/>
          </w:tcPr>
          <w:p>
            <w:pPr>
              <w:jc w:val="center"/>
              <w:rPr>
                <w:rFonts w:ascii="宋体" w:hAnsi="宋体"/>
                <w:sz w:val="21"/>
                <w:szCs w:val="21"/>
              </w:rPr>
            </w:pPr>
            <w:bookmarkStart w:id="31" w:name="_Hlk78363599"/>
            <w:r>
              <w:rPr>
                <w:rFonts w:hint="eastAsia" w:ascii="宋体" w:hAnsi="宋体"/>
                <w:sz w:val="21"/>
                <w:szCs w:val="21"/>
              </w:rPr>
              <w:t>资格评审标准</w:t>
            </w:r>
            <w:bookmarkEnd w:id="31"/>
          </w:p>
        </w:tc>
        <w:tc>
          <w:tcPr>
            <w:tcW w:w="7250" w:type="dxa"/>
          </w:tcPr>
          <w:p>
            <w:pPr>
              <w:tabs>
                <w:tab w:val="left" w:pos="3060"/>
              </w:tabs>
              <w:spacing w:line="320" w:lineRule="exact"/>
              <w:rPr>
                <w:rFonts w:hint="eastAsia" w:ascii="宋体" w:hAnsi="宋体"/>
                <w:sz w:val="21"/>
                <w:szCs w:val="21"/>
              </w:rPr>
            </w:pPr>
            <w:r>
              <w:rPr>
                <w:rFonts w:hint="eastAsia" w:ascii="宋体" w:hAnsi="宋体"/>
                <w:sz w:val="21"/>
                <w:szCs w:val="21"/>
              </w:rPr>
              <w:t>（1）投标人具备有效的营业执照（或事业单位法人证书）、资质证书和基本账户开户许可证（或基本存款账户信息）；</w:t>
            </w:r>
          </w:p>
          <w:p>
            <w:pPr>
              <w:tabs>
                <w:tab w:val="left" w:pos="3060"/>
              </w:tabs>
              <w:spacing w:line="320" w:lineRule="exact"/>
              <w:rPr>
                <w:rFonts w:hint="eastAsia" w:ascii="宋体" w:hAnsi="宋体"/>
                <w:sz w:val="21"/>
                <w:szCs w:val="21"/>
              </w:rPr>
            </w:pPr>
            <w:r>
              <w:rPr>
                <w:rFonts w:hint="eastAsia" w:ascii="宋体" w:hAnsi="宋体"/>
                <w:sz w:val="21"/>
                <w:szCs w:val="21"/>
              </w:rPr>
              <w:t>（2）投标人的资质等级符合招标文件规定；</w:t>
            </w:r>
          </w:p>
          <w:p>
            <w:pPr>
              <w:tabs>
                <w:tab w:val="left" w:pos="3060"/>
              </w:tabs>
              <w:spacing w:line="320" w:lineRule="exact"/>
              <w:rPr>
                <w:rFonts w:hint="eastAsia" w:ascii="宋体" w:hAnsi="宋体"/>
                <w:sz w:val="21"/>
                <w:szCs w:val="21"/>
              </w:rPr>
            </w:pPr>
            <w:r>
              <w:rPr>
                <w:rFonts w:hint="eastAsia" w:ascii="宋体" w:hAnsi="宋体"/>
                <w:sz w:val="21"/>
                <w:szCs w:val="21"/>
              </w:rPr>
              <w:t>（3）投标人的类似项目业绩符合招标文件规定；</w:t>
            </w:r>
          </w:p>
          <w:p>
            <w:pPr>
              <w:tabs>
                <w:tab w:val="left" w:pos="3060"/>
              </w:tabs>
              <w:spacing w:line="320" w:lineRule="exact"/>
              <w:rPr>
                <w:rFonts w:hint="eastAsia" w:ascii="宋体" w:hAnsi="宋体"/>
                <w:sz w:val="21"/>
                <w:szCs w:val="21"/>
              </w:rPr>
            </w:pPr>
            <w:r>
              <w:rPr>
                <w:rFonts w:hint="eastAsia" w:ascii="宋体" w:hAnsi="宋体"/>
                <w:sz w:val="21"/>
                <w:szCs w:val="21"/>
              </w:rPr>
              <w:t>（4）投标人的信誉符合招标文件规定；</w:t>
            </w:r>
          </w:p>
          <w:p>
            <w:pPr>
              <w:tabs>
                <w:tab w:val="left" w:pos="3060"/>
              </w:tabs>
              <w:spacing w:line="320" w:lineRule="exact"/>
              <w:rPr>
                <w:rFonts w:hint="eastAsia" w:ascii="宋体" w:hAnsi="宋体"/>
                <w:sz w:val="21"/>
                <w:szCs w:val="21"/>
              </w:rPr>
            </w:pPr>
            <w:r>
              <w:rPr>
                <w:rFonts w:hint="eastAsia" w:ascii="宋体" w:hAnsi="宋体"/>
                <w:sz w:val="21"/>
                <w:szCs w:val="21"/>
              </w:rPr>
              <w:t>（5）投标人的项目负责人资格符合招标文件规定；</w:t>
            </w:r>
          </w:p>
          <w:p>
            <w:pPr>
              <w:tabs>
                <w:tab w:val="left" w:pos="3060"/>
              </w:tabs>
              <w:spacing w:line="320" w:lineRule="exact"/>
              <w:rPr>
                <w:rFonts w:hint="eastAsia" w:ascii="宋体" w:hAnsi="宋体"/>
                <w:sz w:val="21"/>
                <w:szCs w:val="21"/>
              </w:rPr>
            </w:pPr>
            <w:r>
              <w:rPr>
                <w:rFonts w:hint="eastAsia" w:ascii="宋体" w:hAnsi="宋体"/>
                <w:sz w:val="21"/>
                <w:szCs w:val="21"/>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Align w:val="center"/>
          </w:tcPr>
          <w:p>
            <w:pPr>
              <w:jc w:val="center"/>
              <w:rPr>
                <w:rFonts w:ascii="宋体" w:hAnsi="宋体"/>
                <w:sz w:val="21"/>
                <w:szCs w:val="21"/>
              </w:rPr>
            </w:pPr>
            <w:r>
              <w:rPr>
                <w:rFonts w:hint="eastAsia" w:ascii="宋体" w:hAnsi="宋体"/>
                <w:sz w:val="21"/>
                <w:szCs w:val="21"/>
              </w:rPr>
              <w:t>2.2.1</w:t>
            </w:r>
          </w:p>
        </w:tc>
        <w:tc>
          <w:tcPr>
            <w:tcW w:w="1149" w:type="dxa"/>
            <w:vAlign w:val="center"/>
          </w:tcPr>
          <w:p>
            <w:pPr>
              <w:jc w:val="center"/>
              <w:rPr>
                <w:rFonts w:ascii="宋体" w:hAnsi="宋体"/>
                <w:sz w:val="21"/>
                <w:szCs w:val="21"/>
              </w:rPr>
            </w:pPr>
            <w:r>
              <w:rPr>
                <w:rFonts w:hint="eastAsia" w:ascii="宋体" w:hAnsi="宋体"/>
                <w:sz w:val="21"/>
                <w:szCs w:val="21"/>
              </w:rPr>
              <w:t>分值构成</w:t>
            </w:r>
          </w:p>
        </w:tc>
        <w:tc>
          <w:tcPr>
            <w:tcW w:w="7250" w:type="dxa"/>
            <w:vAlign w:val="center"/>
          </w:tcPr>
          <w:p>
            <w:pPr>
              <w:autoSpaceDE w:val="0"/>
              <w:autoSpaceDN w:val="0"/>
              <w:adjustRightInd w:val="0"/>
              <w:ind w:left="107"/>
              <w:jc w:val="left"/>
              <w:rPr>
                <w:rFonts w:hint="eastAsia" w:ascii="宋体" w:hAnsi="宋体"/>
                <w:b/>
                <w:kern w:val="0"/>
                <w:sz w:val="21"/>
                <w:szCs w:val="21"/>
              </w:rPr>
            </w:pPr>
            <w:r>
              <w:rPr>
                <w:rFonts w:hint="eastAsia" w:ascii="宋体" w:hAnsi="宋体"/>
                <w:b/>
                <w:kern w:val="0"/>
                <w:sz w:val="21"/>
                <w:szCs w:val="21"/>
              </w:rPr>
              <w:t>第一信封（商务及技术文件）评分分值构成：</w:t>
            </w:r>
          </w:p>
          <w:p>
            <w:pPr>
              <w:autoSpaceDE w:val="0"/>
              <w:autoSpaceDN w:val="0"/>
              <w:adjustRightInd w:val="0"/>
              <w:ind w:left="107"/>
              <w:jc w:val="left"/>
              <w:rPr>
                <w:rFonts w:ascii="宋体" w:hAnsi="宋体" w:cs="宋?"/>
                <w:kern w:val="0"/>
                <w:sz w:val="21"/>
                <w:szCs w:val="21"/>
              </w:rPr>
            </w:pPr>
            <w:r>
              <w:rPr>
                <w:rFonts w:hint="eastAsia" w:ascii="宋体" w:hAnsi="宋体" w:cs="宋?"/>
                <w:kern w:val="0"/>
                <w:sz w:val="21"/>
                <w:szCs w:val="21"/>
              </w:rPr>
              <w:t>实施方案：30</w:t>
            </w:r>
            <w:r>
              <w:rPr>
                <w:rFonts w:ascii="宋体" w:hAnsi="宋体" w:cs="宋?"/>
                <w:kern w:val="0"/>
                <w:sz w:val="21"/>
                <w:szCs w:val="21"/>
              </w:rPr>
              <w:t>分</w:t>
            </w:r>
          </w:p>
          <w:p>
            <w:pPr>
              <w:autoSpaceDE w:val="0"/>
              <w:autoSpaceDN w:val="0"/>
              <w:adjustRightInd w:val="0"/>
              <w:ind w:left="107"/>
              <w:jc w:val="left"/>
              <w:rPr>
                <w:rFonts w:hint="eastAsia" w:ascii="宋体" w:hAnsi="宋体"/>
                <w:kern w:val="0"/>
                <w:sz w:val="21"/>
                <w:szCs w:val="21"/>
              </w:rPr>
            </w:pPr>
            <w:r>
              <w:rPr>
                <w:rFonts w:hint="eastAsia" w:ascii="宋体" w:hAnsi="宋体"/>
                <w:kern w:val="0"/>
                <w:sz w:val="21"/>
                <w:szCs w:val="21"/>
              </w:rPr>
              <w:t xml:space="preserve">主要人员： </w:t>
            </w:r>
            <w:r>
              <w:rPr>
                <w:rFonts w:ascii="宋体" w:hAnsi="宋体"/>
                <w:kern w:val="0"/>
                <w:sz w:val="21"/>
                <w:szCs w:val="21"/>
              </w:rPr>
              <w:t xml:space="preserve"> </w:t>
            </w:r>
            <w:r>
              <w:rPr>
                <w:rFonts w:hint="eastAsia" w:ascii="宋体" w:hAnsi="宋体"/>
                <w:kern w:val="0"/>
                <w:sz w:val="21"/>
                <w:szCs w:val="21"/>
              </w:rPr>
              <w:t>15分</w:t>
            </w:r>
          </w:p>
          <w:p>
            <w:pPr>
              <w:autoSpaceDE w:val="0"/>
              <w:autoSpaceDN w:val="0"/>
              <w:adjustRightInd w:val="0"/>
              <w:ind w:left="107"/>
              <w:jc w:val="left"/>
              <w:rPr>
                <w:rFonts w:ascii="宋体" w:hAnsi="宋体"/>
                <w:kern w:val="0"/>
                <w:sz w:val="21"/>
                <w:szCs w:val="21"/>
              </w:rPr>
            </w:pPr>
            <w:r>
              <w:rPr>
                <w:rFonts w:hint="eastAsia" w:ascii="宋体" w:hAnsi="宋体"/>
                <w:kern w:val="0"/>
                <w:sz w:val="21"/>
                <w:szCs w:val="21"/>
              </w:rPr>
              <w:t xml:space="preserve">业    绩： </w:t>
            </w:r>
            <w:r>
              <w:rPr>
                <w:rFonts w:ascii="宋体" w:hAnsi="宋体"/>
                <w:kern w:val="0"/>
                <w:sz w:val="21"/>
                <w:szCs w:val="21"/>
              </w:rPr>
              <w:t xml:space="preserve"> </w:t>
            </w:r>
            <w:r>
              <w:rPr>
                <w:rFonts w:hint="eastAsia" w:ascii="宋体" w:hAnsi="宋体"/>
                <w:kern w:val="0"/>
                <w:sz w:val="21"/>
                <w:szCs w:val="21"/>
              </w:rPr>
              <w:t>15分</w:t>
            </w:r>
          </w:p>
          <w:p>
            <w:pPr>
              <w:autoSpaceDE w:val="0"/>
              <w:autoSpaceDN w:val="0"/>
              <w:adjustRightInd w:val="0"/>
              <w:ind w:left="107"/>
              <w:jc w:val="left"/>
              <w:rPr>
                <w:rFonts w:hint="eastAsia" w:ascii="宋体" w:hAnsi="宋体"/>
                <w:b/>
                <w:kern w:val="0"/>
                <w:sz w:val="21"/>
                <w:szCs w:val="21"/>
              </w:rPr>
            </w:pPr>
            <w:r>
              <w:rPr>
                <w:rFonts w:hint="eastAsia" w:ascii="宋体" w:hAnsi="宋体"/>
                <w:b/>
                <w:kern w:val="0"/>
                <w:sz w:val="21"/>
                <w:szCs w:val="21"/>
              </w:rPr>
              <w:t>第二信封（报价文件）评分分值构成：</w:t>
            </w:r>
          </w:p>
          <w:p>
            <w:pPr>
              <w:autoSpaceDE w:val="0"/>
              <w:autoSpaceDN w:val="0"/>
              <w:adjustRightInd w:val="0"/>
              <w:ind w:left="107"/>
              <w:jc w:val="left"/>
              <w:rPr>
                <w:rFonts w:ascii="宋体" w:hAnsi="宋体"/>
                <w:sz w:val="21"/>
                <w:szCs w:val="21"/>
              </w:rPr>
            </w:pPr>
            <w:r>
              <w:rPr>
                <w:rFonts w:hint="eastAsia" w:ascii="宋体" w:hAnsi="宋体"/>
                <w:sz w:val="21"/>
                <w:szCs w:val="21"/>
              </w:rPr>
              <w:t xml:space="preserve">评标价： </w:t>
            </w:r>
            <w:r>
              <w:rPr>
                <w:rFonts w:ascii="宋体" w:hAnsi="宋体"/>
                <w:sz w:val="21"/>
                <w:szCs w:val="21"/>
              </w:rPr>
              <w:t xml:space="preserve">  </w:t>
            </w:r>
            <w:r>
              <w:rPr>
                <w:rFonts w:hint="eastAsia" w:ascii="宋体" w:hAnsi="宋体"/>
                <w:sz w:val="21"/>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944" w:type="dxa"/>
            <w:vAlign w:val="center"/>
          </w:tcPr>
          <w:p>
            <w:pPr>
              <w:ind w:right="113"/>
              <w:jc w:val="center"/>
              <w:rPr>
                <w:rFonts w:hint="eastAsia" w:ascii="宋体" w:hAnsi="宋体"/>
                <w:sz w:val="21"/>
                <w:szCs w:val="21"/>
              </w:rPr>
            </w:pPr>
            <w:r>
              <w:rPr>
                <w:rFonts w:hint="eastAsia" w:ascii="宋体" w:hAnsi="宋体"/>
                <w:sz w:val="21"/>
                <w:szCs w:val="21"/>
              </w:rPr>
              <w:t>2.2.2</w:t>
            </w:r>
          </w:p>
        </w:tc>
        <w:tc>
          <w:tcPr>
            <w:tcW w:w="1149" w:type="dxa"/>
            <w:vAlign w:val="center"/>
          </w:tcPr>
          <w:p>
            <w:pPr>
              <w:ind w:left="2"/>
              <w:jc w:val="center"/>
              <w:rPr>
                <w:rFonts w:hint="eastAsia" w:ascii="宋体" w:hAnsi="宋体"/>
                <w:sz w:val="21"/>
                <w:szCs w:val="21"/>
              </w:rPr>
            </w:pPr>
            <w:r>
              <w:rPr>
                <w:rFonts w:hint="eastAsia" w:ascii="宋体" w:hAnsi="宋体"/>
                <w:sz w:val="21"/>
                <w:szCs w:val="21"/>
              </w:rPr>
              <w:t>评标基准价计算</w:t>
            </w:r>
          </w:p>
          <w:p>
            <w:pPr>
              <w:ind w:left="2"/>
              <w:jc w:val="center"/>
              <w:rPr>
                <w:rFonts w:hint="eastAsia" w:ascii="宋体" w:hAnsi="宋体"/>
                <w:sz w:val="21"/>
                <w:szCs w:val="21"/>
              </w:rPr>
            </w:pPr>
            <w:r>
              <w:rPr>
                <w:rFonts w:hint="eastAsia" w:ascii="宋体" w:hAnsi="宋体"/>
                <w:sz w:val="21"/>
                <w:szCs w:val="21"/>
              </w:rPr>
              <w:t>方法</w:t>
            </w:r>
          </w:p>
        </w:tc>
        <w:tc>
          <w:tcPr>
            <w:tcW w:w="7250" w:type="dxa"/>
            <w:vAlign w:val="center"/>
          </w:tcPr>
          <w:p>
            <w:pPr>
              <w:ind w:left="113" w:right="113" w:firstLine="210" w:firstLineChars="100"/>
              <w:rPr>
                <w:rFonts w:ascii="宋体" w:hAnsi="宋体"/>
                <w:sz w:val="21"/>
                <w:szCs w:val="21"/>
              </w:rPr>
            </w:pPr>
            <w:r>
              <w:rPr>
                <w:rFonts w:hint="eastAsia" w:ascii="宋体" w:hAnsi="宋体"/>
                <w:sz w:val="21"/>
                <w:szCs w:val="21"/>
              </w:rPr>
              <w:t>评标基准价的计算：</w:t>
            </w:r>
          </w:p>
          <w:p>
            <w:pPr>
              <w:ind w:left="113" w:right="113" w:firstLine="210" w:firstLineChars="100"/>
              <w:rPr>
                <w:rFonts w:ascii="宋体" w:hAnsi="宋体"/>
                <w:sz w:val="21"/>
                <w:szCs w:val="21"/>
              </w:rPr>
            </w:pPr>
            <w:r>
              <w:rPr>
                <w:rFonts w:hint="eastAsia" w:ascii="宋体" w:hAnsi="宋体"/>
                <w:sz w:val="21"/>
                <w:szCs w:val="21"/>
              </w:rPr>
              <w:t>在第二个信封开标现场，招标人将当场计算并宣布评标基准价。</w:t>
            </w:r>
          </w:p>
          <w:p>
            <w:pPr>
              <w:ind w:left="113" w:right="113" w:firstLine="210" w:firstLineChars="100"/>
              <w:rPr>
                <w:rFonts w:ascii="宋体" w:hAnsi="宋体"/>
                <w:sz w:val="21"/>
                <w:szCs w:val="21"/>
              </w:rPr>
            </w:pPr>
            <w:r>
              <w:rPr>
                <w:rFonts w:ascii="宋体" w:hAnsi="宋体"/>
                <w:sz w:val="21"/>
                <w:szCs w:val="21"/>
              </w:rPr>
              <w:t>(1)</w:t>
            </w:r>
            <w:r>
              <w:rPr>
                <w:rFonts w:hint="eastAsia" w:ascii="宋体" w:hAnsi="宋体"/>
                <w:sz w:val="21"/>
                <w:szCs w:val="21"/>
              </w:rPr>
              <w:t>评标价的确定：</w:t>
            </w:r>
          </w:p>
          <w:p>
            <w:pPr>
              <w:ind w:left="113" w:right="113" w:firstLine="210" w:firstLineChars="100"/>
              <w:rPr>
                <w:rFonts w:ascii="宋体" w:hAnsi="宋体"/>
                <w:sz w:val="21"/>
                <w:szCs w:val="21"/>
              </w:rPr>
            </w:pPr>
            <w:r>
              <w:rPr>
                <w:rFonts w:hint="eastAsia" w:ascii="宋体" w:hAnsi="宋体"/>
                <w:sz w:val="21"/>
                <w:szCs w:val="21"/>
              </w:rPr>
              <w:t>评标价</w:t>
            </w:r>
            <w:r>
              <w:rPr>
                <w:rFonts w:ascii="宋体" w:hAnsi="宋体"/>
                <w:sz w:val="21"/>
                <w:szCs w:val="21"/>
              </w:rPr>
              <w:t>=</w:t>
            </w:r>
            <w:r>
              <w:rPr>
                <w:rFonts w:hint="eastAsia" w:ascii="宋体" w:hAnsi="宋体"/>
                <w:sz w:val="21"/>
                <w:szCs w:val="21"/>
              </w:rPr>
              <w:t>投标函文字报价</w:t>
            </w:r>
          </w:p>
          <w:p>
            <w:pPr>
              <w:ind w:left="113" w:right="113" w:firstLine="210" w:firstLineChars="100"/>
              <w:rPr>
                <w:rFonts w:ascii="宋体" w:hAnsi="宋体"/>
                <w:sz w:val="21"/>
                <w:szCs w:val="21"/>
              </w:rPr>
            </w:pPr>
            <w:r>
              <w:rPr>
                <w:rFonts w:ascii="宋体" w:hAnsi="宋体"/>
                <w:sz w:val="21"/>
                <w:szCs w:val="21"/>
              </w:rPr>
              <w:t>(2)</w:t>
            </w:r>
            <w:r>
              <w:rPr>
                <w:rFonts w:hint="eastAsia" w:ascii="宋体" w:hAnsi="宋体"/>
                <w:sz w:val="21"/>
                <w:szCs w:val="21"/>
              </w:rPr>
              <w:t>评标价平均值的计算：</w:t>
            </w:r>
          </w:p>
          <w:p>
            <w:pPr>
              <w:ind w:left="113" w:right="113" w:firstLine="210" w:firstLineChars="100"/>
              <w:rPr>
                <w:rFonts w:ascii="宋体" w:hAnsi="宋体"/>
                <w:sz w:val="21"/>
                <w:szCs w:val="21"/>
              </w:rPr>
            </w:pPr>
            <w:r>
              <w:rPr>
                <w:rFonts w:hint="eastAsia" w:ascii="宋体" w:hAnsi="宋体"/>
                <w:sz w:val="21"/>
                <w:szCs w:val="21"/>
              </w:rPr>
              <w:t>除按第二章“投标人须知”第</w:t>
            </w:r>
            <w:r>
              <w:rPr>
                <w:rFonts w:ascii="宋体" w:hAnsi="宋体"/>
                <w:sz w:val="21"/>
                <w:szCs w:val="21"/>
              </w:rPr>
              <w:t>5.2.4</w:t>
            </w:r>
            <w:r>
              <w:rPr>
                <w:rFonts w:hint="eastAsia" w:ascii="宋体" w:hAnsi="宋体"/>
                <w:sz w:val="21"/>
                <w:szCs w:val="21"/>
              </w:rPr>
              <w:t>项规定开标现场被宣布为不进入评标基准价计算的投标报价之外，如果参与计算的投标人数量＜</w:t>
            </w:r>
            <w:r>
              <w:rPr>
                <w:rFonts w:ascii="宋体" w:hAnsi="宋体"/>
                <w:sz w:val="21"/>
                <w:szCs w:val="21"/>
              </w:rPr>
              <w:t>6</w:t>
            </w:r>
            <w:r>
              <w:rPr>
                <w:rFonts w:hint="eastAsia" w:ascii="宋体" w:hAnsi="宋体"/>
                <w:sz w:val="21"/>
                <w:szCs w:val="21"/>
              </w:rPr>
              <w:t>家时，计算评标价平均值时不去最高值和最低值；如果</w:t>
            </w:r>
            <w:r>
              <w:rPr>
                <w:rFonts w:ascii="宋体" w:hAnsi="宋体"/>
                <w:sz w:val="21"/>
                <w:szCs w:val="21"/>
              </w:rPr>
              <w:t>6</w:t>
            </w:r>
            <w:r>
              <w:rPr>
                <w:rFonts w:hint="eastAsia" w:ascii="宋体" w:hAnsi="宋体"/>
                <w:sz w:val="21"/>
                <w:szCs w:val="21"/>
              </w:rPr>
              <w:t>≤参与计算的投标人数量≤</w:t>
            </w:r>
            <w:r>
              <w:rPr>
                <w:rFonts w:ascii="宋体" w:hAnsi="宋体"/>
                <w:sz w:val="21"/>
                <w:szCs w:val="21"/>
              </w:rPr>
              <w:t>10</w:t>
            </w:r>
            <w:r>
              <w:rPr>
                <w:rFonts w:hint="eastAsia" w:ascii="宋体" w:hAnsi="宋体"/>
                <w:sz w:val="21"/>
                <w:szCs w:val="21"/>
              </w:rPr>
              <w:t>家时，计算评标价平均值时去掉</w:t>
            </w:r>
            <w:r>
              <w:rPr>
                <w:rFonts w:ascii="宋体" w:hAnsi="宋体"/>
                <w:sz w:val="21"/>
                <w:szCs w:val="21"/>
              </w:rPr>
              <w:t>1</w:t>
            </w:r>
            <w:r>
              <w:rPr>
                <w:rFonts w:hint="eastAsia" w:ascii="宋体" w:hAnsi="宋体"/>
                <w:sz w:val="21"/>
                <w:szCs w:val="21"/>
              </w:rPr>
              <w:t>个最高值和</w:t>
            </w:r>
            <w:r>
              <w:rPr>
                <w:rFonts w:ascii="宋体" w:hAnsi="宋体"/>
                <w:sz w:val="21"/>
                <w:szCs w:val="21"/>
              </w:rPr>
              <w:t>1</w:t>
            </w:r>
            <w:r>
              <w:rPr>
                <w:rFonts w:hint="eastAsia" w:ascii="宋体" w:hAnsi="宋体"/>
                <w:sz w:val="21"/>
                <w:szCs w:val="21"/>
              </w:rPr>
              <w:t>个最低值；如果参与计算的投标人数量＞</w:t>
            </w:r>
            <w:r>
              <w:rPr>
                <w:rFonts w:ascii="宋体" w:hAnsi="宋体"/>
                <w:sz w:val="21"/>
                <w:szCs w:val="21"/>
              </w:rPr>
              <w:t>10</w:t>
            </w:r>
            <w:r>
              <w:rPr>
                <w:rFonts w:hint="eastAsia" w:ascii="宋体" w:hAnsi="宋体"/>
                <w:sz w:val="21"/>
                <w:szCs w:val="21"/>
              </w:rPr>
              <w:t>家时，计算评标价平均值时去掉</w:t>
            </w:r>
            <w:r>
              <w:rPr>
                <w:rFonts w:ascii="宋体" w:hAnsi="宋体"/>
                <w:sz w:val="21"/>
                <w:szCs w:val="21"/>
              </w:rPr>
              <w:t>2</w:t>
            </w:r>
            <w:r>
              <w:rPr>
                <w:rFonts w:hint="eastAsia" w:ascii="宋体" w:hAnsi="宋体"/>
                <w:sz w:val="21"/>
                <w:szCs w:val="21"/>
              </w:rPr>
              <w:t>个最高值和</w:t>
            </w:r>
            <w:r>
              <w:rPr>
                <w:rFonts w:ascii="宋体" w:hAnsi="宋体"/>
                <w:sz w:val="21"/>
                <w:szCs w:val="21"/>
              </w:rPr>
              <w:t>2</w:t>
            </w:r>
            <w:r>
              <w:rPr>
                <w:rFonts w:hint="eastAsia" w:ascii="宋体" w:hAnsi="宋体"/>
                <w:sz w:val="21"/>
                <w:szCs w:val="21"/>
              </w:rPr>
              <w:t>个最低值。</w:t>
            </w:r>
          </w:p>
          <w:p>
            <w:pPr>
              <w:ind w:left="113" w:right="113" w:firstLine="210" w:firstLineChars="100"/>
              <w:rPr>
                <w:rFonts w:ascii="宋体" w:hAnsi="宋体"/>
                <w:sz w:val="21"/>
                <w:szCs w:val="21"/>
              </w:rPr>
            </w:pPr>
            <w:r>
              <w:rPr>
                <w:rFonts w:ascii="宋体" w:hAnsi="宋体"/>
                <w:sz w:val="21"/>
                <w:szCs w:val="21"/>
              </w:rPr>
              <w:t>(3)</w:t>
            </w:r>
            <w:r>
              <w:rPr>
                <w:rFonts w:hint="eastAsia" w:ascii="宋体" w:hAnsi="宋体"/>
                <w:sz w:val="21"/>
                <w:szCs w:val="21"/>
              </w:rPr>
              <w:t>评标基准价的确定：</w:t>
            </w:r>
          </w:p>
          <w:p>
            <w:pPr>
              <w:ind w:left="113" w:right="113" w:firstLine="210" w:firstLineChars="100"/>
              <w:rPr>
                <w:rFonts w:ascii="宋体" w:hAnsi="宋体"/>
                <w:sz w:val="21"/>
                <w:szCs w:val="21"/>
              </w:rPr>
            </w:pPr>
            <w:r>
              <w:rPr>
                <w:rFonts w:hint="eastAsia" w:ascii="宋体" w:hAnsi="宋体"/>
                <w:sz w:val="21"/>
                <w:szCs w:val="21"/>
              </w:rPr>
              <w:t>将评标价平均值直接作为评标基准价（评标基准价保留两位小数，第三位四舍五入）。当所有投标价都高于招标人投标控制价上限时，招标人将重新招标。</w:t>
            </w:r>
          </w:p>
          <w:p>
            <w:pPr>
              <w:spacing w:line="340" w:lineRule="exact"/>
              <w:ind w:right="113" w:firstLine="426" w:firstLineChars="203"/>
              <w:rPr>
                <w:rFonts w:hint="eastAsia" w:ascii="宋体" w:hAnsi="宋体"/>
                <w:sz w:val="21"/>
                <w:szCs w:val="21"/>
              </w:rPr>
            </w:pPr>
            <w:r>
              <w:rPr>
                <w:rFonts w:hint="eastAsia" w:ascii="宋体" w:hAnsi="宋体"/>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44" w:type="dxa"/>
            <w:vAlign w:val="center"/>
          </w:tcPr>
          <w:p>
            <w:pPr>
              <w:ind w:right="113"/>
              <w:jc w:val="center"/>
              <w:rPr>
                <w:rFonts w:hint="eastAsia" w:ascii="宋体" w:hAnsi="宋体"/>
                <w:sz w:val="21"/>
                <w:szCs w:val="21"/>
              </w:rPr>
            </w:pPr>
            <w:r>
              <w:rPr>
                <w:rFonts w:hint="eastAsia" w:ascii="宋体" w:hAnsi="宋体"/>
                <w:sz w:val="21"/>
                <w:szCs w:val="21"/>
              </w:rPr>
              <w:t>2.2.3</w:t>
            </w:r>
          </w:p>
        </w:tc>
        <w:tc>
          <w:tcPr>
            <w:tcW w:w="1149" w:type="dxa"/>
            <w:vAlign w:val="center"/>
          </w:tcPr>
          <w:p>
            <w:pPr>
              <w:ind w:left="-42" w:leftChars="-15" w:right="-77"/>
              <w:jc w:val="center"/>
              <w:rPr>
                <w:rFonts w:hint="eastAsia" w:ascii="宋体" w:hAnsi="宋体"/>
                <w:sz w:val="21"/>
                <w:szCs w:val="21"/>
              </w:rPr>
            </w:pPr>
            <w:r>
              <w:rPr>
                <w:rFonts w:hint="eastAsia" w:ascii="宋体" w:hAnsi="宋体"/>
                <w:sz w:val="21"/>
                <w:szCs w:val="21"/>
              </w:rPr>
              <w:t>评标价的偏差率计算</w:t>
            </w:r>
          </w:p>
          <w:p>
            <w:pPr>
              <w:ind w:left="-42" w:leftChars="-15" w:right="-77"/>
              <w:jc w:val="center"/>
              <w:rPr>
                <w:rFonts w:hint="eastAsia" w:ascii="宋体" w:hAnsi="宋体"/>
                <w:sz w:val="21"/>
                <w:szCs w:val="21"/>
              </w:rPr>
            </w:pPr>
            <w:r>
              <w:rPr>
                <w:rFonts w:hint="eastAsia" w:ascii="宋体" w:hAnsi="宋体"/>
                <w:sz w:val="21"/>
                <w:szCs w:val="21"/>
              </w:rPr>
              <w:t>公式</w:t>
            </w:r>
          </w:p>
        </w:tc>
        <w:tc>
          <w:tcPr>
            <w:tcW w:w="7250" w:type="dxa"/>
            <w:vAlign w:val="center"/>
          </w:tcPr>
          <w:p>
            <w:pPr>
              <w:ind w:left="113" w:right="113" w:firstLine="210" w:firstLineChars="100"/>
              <w:rPr>
                <w:rFonts w:hint="eastAsia" w:ascii="宋体" w:hAnsi="宋体"/>
                <w:sz w:val="21"/>
                <w:szCs w:val="21"/>
              </w:rPr>
            </w:pPr>
            <w:r>
              <w:rPr>
                <w:rFonts w:hint="eastAsia" w:ascii="宋体" w:hAnsi="宋体"/>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944" w:type="dxa"/>
            <w:vAlign w:val="center"/>
          </w:tcPr>
          <w:p>
            <w:pPr>
              <w:ind w:right="113"/>
              <w:jc w:val="center"/>
              <w:rPr>
                <w:rFonts w:hint="eastAsia" w:ascii="宋体" w:hAnsi="宋体"/>
                <w:sz w:val="21"/>
                <w:szCs w:val="21"/>
              </w:rPr>
            </w:pPr>
            <w:r>
              <w:rPr>
                <w:rFonts w:hint="eastAsia" w:ascii="宋体" w:hAnsi="宋体"/>
                <w:sz w:val="21"/>
                <w:szCs w:val="21"/>
              </w:rPr>
              <w:t>3</w:t>
            </w:r>
            <w:r>
              <w:rPr>
                <w:rFonts w:ascii="宋体" w:hAnsi="宋体"/>
                <w:sz w:val="21"/>
                <w:szCs w:val="21"/>
              </w:rPr>
              <w:t>.6.1</w:t>
            </w:r>
          </w:p>
        </w:tc>
        <w:tc>
          <w:tcPr>
            <w:tcW w:w="1149" w:type="dxa"/>
            <w:vAlign w:val="center"/>
          </w:tcPr>
          <w:p>
            <w:pPr>
              <w:ind w:left="-42" w:leftChars="-15" w:right="-77"/>
              <w:jc w:val="center"/>
              <w:rPr>
                <w:rFonts w:hint="eastAsia" w:ascii="宋体" w:hAnsi="宋体"/>
                <w:sz w:val="21"/>
                <w:szCs w:val="21"/>
              </w:rPr>
            </w:pPr>
            <w:r>
              <w:rPr>
                <w:rFonts w:hint="eastAsia" w:ascii="宋体" w:hAnsi="宋体"/>
                <w:sz w:val="21"/>
                <w:szCs w:val="21"/>
              </w:rPr>
              <w:t>投标文件相关信息核查</w:t>
            </w:r>
          </w:p>
        </w:tc>
        <w:tc>
          <w:tcPr>
            <w:tcW w:w="7250" w:type="dxa"/>
            <w:vAlign w:val="center"/>
          </w:tcPr>
          <w:p>
            <w:pPr>
              <w:adjustRightInd w:val="0"/>
              <w:snapToGrid w:val="0"/>
              <w:spacing w:line="300" w:lineRule="exact"/>
              <w:rPr>
                <w:rFonts w:ascii="宋体" w:hAnsi="宋体"/>
                <w:sz w:val="21"/>
                <w:szCs w:val="21"/>
              </w:rPr>
            </w:pPr>
            <w:r>
              <w:rPr>
                <w:rFonts w:hint="eastAsia" w:ascii="宋体" w:hAnsi="宋体"/>
                <w:sz w:val="21"/>
                <w:szCs w:val="21"/>
              </w:rPr>
              <w:t>在评标过程中，评标委员会应对以下信息进行查询：</w:t>
            </w:r>
          </w:p>
          <w:p>
            <w:pPr>
              <w:ind w:firstLine="420" w:firstLineChars="20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评标委员会评标时对投标人的信用情况在“国家企业信用信息公示系统（http://www.gsxt.gov.cn/)”进行查询，若投标人存在被列入“严重违法失信企业名单”情形的（不含分公司，不含事业单位），评标委员会应否决其投标。</w:t>
            </w:r>
          </w:p>
          <w:p>
            <w:pPr>
              <w:ind w:firstLine="420" w:firstLineChars="200"/>
              <w:rPr>
                <w:rFonts w:ascii="宋体" w:hAnsi="宋体"/>
                <w:sz w:val="21"/>
                <w:szCs w:val="21"/>
              </w:rPr>
            </w:pPr>
            <w:r>
              <w:rPr>
                <w:rFonts w:hint="eastAsia" w:ascii="宋体" w:hAnsi="宋体"/>
                <w:sz w:val="21"/>
                <w:szCs w:val="21"/>
              </w:rPr>
              <w:t>评标委员会评标时还应对投标人的信用情况在“ 信用中国网站（http://www.creditchina.gov.cn/)”进行查询，若投标人存在被列入“失信被执行人名单、异常经营名录、税收违法黑名单、政府采购严重违法失信行为记录名单”情形的（均不含分公司），评标委员会应否决其投标。</w:t>
            </w:r>
          </w:p>
          <w:p>
            <w:pPr>
              <w:ind w:firstLine="420" w:firstLineChars="200"/>
              <w:rPr>
                <w:rFonts w:hint="eastAsia" w:ascii="宋体" w:hAnsi="宋体"/>
                <w:sz w:val="21"/>
                <w:szCs w:val="21"/>
              </w:rPr>
            </w:pPr>
            <w:r>
              <w:rPr>
                <w:rFonts w:hint="eastAsia" w:ascii="宋体" w:hAnsi="宋体"/>
                <w:sz w:val="21"/>
                <w:szCs w:val="21"/>
              </w:rPr>
              <w:t>如投标人未提供相关网页截图，评标委员会应否决其投标。</w:t>
            </w:r>
          </w:p>
          <w:p>
            <w:pPr>
              <w:spacing w:line="340" w:lineRule="exact"/>
              <w:ind w:right="113" w:firstLine="426" w:firstLineChars="203"/>
              <w:rPr>
                <w:rFonts w:hint="eastAsia" w:ascii="宋体" w:hAnsi="宋体"/>
                <w:sz w:val="21"/>
                <w:szCs w:val="21"/>
              </w:rPr>
            </w:pPr>
            <w:r>
              <w:rPr>
                <w:rFonts w:hint="eastAsia" w:ascii="宋体" w:hAnsi="宋体"/>
                <w:sz w:val="21"/>
                <w:szCs w:val="21"/>
              </w:rPr>
              <w:t>投标人应保证上述全部截图的真实性，如发现核查结果不一致则视为相关截图弄虚作假。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处理结果同时报相应政府网站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944" w:type="dxa"/>
            <w:vAlign w:val="center"/>
          </w:tcPr>
          <w:p>
            <w:pPr>
              <w:ind w:right="113"/>
              <w:jc w:val="center"/>
              <w:rPr>
                <w:rFonts w:hint="eastAsia" w:ascii="宋体" w:hAnsi="宋体"/>
                <w:sz w:val="21"/>
                <w:szCs w:val="21"/>
              </w:rPr>
            </w:pPr>
            <w:r>
              <w:rPr>
                <w:rFonts w:hint="eastAsia" w:ascii="宋体" w:hAnsi="宋体"/>
                <w:sz w:val="21"/>
                <w:szCs w:val="21"/>
              </w:rPr>
              <w:t>3.9.</w:t>
            </w:r>
            <w:r>
              <w:rPr>
                <w:rFonts w:ascii="宋体" w:hAnsi="宋体"/>
                <w:sz w:val="21"/>
                <w:szCs w:val="21"/>
              </w:rPr>
              <w:t>3</w:t>
            </w:r>
          </w:p>
        </w:tc>
        <w:tc>
          <w:tcPr>
            <w:tcW w:w="1149" w:type="dxa"/>
            <w:vAlign w:val="center"/>
          </w:tcPr>
          <w:p>
            <w:pPr>
              <w:ind w:left="-42" w:leftChars="-15" w:right="-77"/>
              <w:jc w:val="center"/>
              <w:rPr>
                <w:rFonts w:ascii="宋体" w:hAnsi="宋体"/>
                <w:sz w:val="21"/>
                <w:szCs w:val="21"/>
              </w:rPr>
            </w:pPr>
            <w:r>
              <w:rPr>
                <w:rFonts w:hint="eastAsia" w:ascii="宋体" w:hAnsi="宋体"/>
                <w:sz w:val="21"/>
                <w:szCs w:val="21"/>
              </w:rPr>
              <w:t>评标</w:t>
            </w:r>
          </w:p>
          <w:p>
            <w:pPr>
              <w:ind w:left="-42" w:leftChars="-15" w:right="-77"/>
              <w:jc w:val="center"/>
              <w:rPr>
                <w:rFonts w:hint="eastAsia" w:ascii="宋体" w:hAnsi="宋体"/>
                <w:sz w:val="21"/>
                <w:szCs w:val="21"/>
              </w:rPr>
            </w:pPr>
            <w:r>
              <w:rPr>
                <w:rFonts w:hint="eastAsia" w:ascii="宋体" w:hAnsi="宋体"/>
                <w:sz w:val="21"/>
                <w:szCs w:val="21"/>
              </w:rPr>
              <w:t>结果</w:t>
            </w:r>
          </w:p>
        </w:tc>
        <w:tc>
          <w:tcPr>
            <w:tcW w:w="7250" w:type="dxa"/>
            <w:vAlign w:val="center"/>
          </w:tcPr>
          <w:p>
            <w:pPr>
              <w:spacing w:line="340" w:lineRule="exact"/>
              <w:ind w:right="113" w:firstLine="426" w:firstLineChars="203"/>
              <w:rPr>
                <w:rFonts w:hint="eastAsia" w:ascii="宋体" w:hAnsi="宋体"/>
                <w:sz w:val="21"/>
                <w:szCs w:val="21"/>
              </w:rPr>
            </w:pPr>
            <w:r>
              <w:rPr>
                <w:rFonts w:hint="eastAsia" w:ascii="宋体" w:hAnsi="宋体"/>
                <w:sz w:val="21"/>
                <w:szCs w:val="21"/>
              </w:rPr>
              <w:t>3.8.1 除第二章“投标人须知”前附表授权直接确定中标人外，评标委员会按照评标办法前附表“1.评标办法”的规定推荐中标候选人。</w:t>
            </w:r>
          </w:p>
        </w:tc>
      </w:tr>
    </w:tbl>
    <w:p>
      <w:pPr>
        <w:jc w:val="right"/>
        <w:rPr>
          <w:rFonts w:ascii="宋体" w:hAnsi="宋体"/>
          <w:sz w:val="24"/>
        </w:rPr>
      </w:pPr>
    </w:p>
    <w:p>
      <w:pPr>
        <w:jc w:val="right"/>
        <w:rPr>
          <w:rFonts w:ascii="宋体" w:hAnsi="宋体"/>
          <w:szCs w:val="21"/>
        </w:rPr>
      </w:pPr>
      <w:r>
        <w:rPr>
          <w:rFonts w:ascii="宋体" w:hAnsi="宋体"/>
          <w:sz w:val="24"/>
        </w:rPr>
        <w:br w:type="page"/>
      </w:r>
      <w:r>
        <w:rPr>
          <w:rFonts w:hint="eastAsia" w:ascii="宋体" w:hAnsi="宋体"/>
          <w:sz w:val="24"/>
        </w:rPr>
        <w:t>续上表</w:t>
      </w:r>
    </w:p>
    <w:tbl>
      <w:tblPr>
        <w:tblStyle w:val="10"/>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740"/>
        <w:gridCol w:w="973"/>
        <w:gridCol w:w="1096"/>
        <w:gridCol w:w="686"/>
        <w:gridCol w:w="1701"/>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422" w:type="dxa"/>
            <w:gridSpan w:val="5"/>
            <w:vAlign w:val="center"/>
          </w:tcPr>
          <w:p>
            <w:pPr>
              <w:pStyle w:val="6"/>
              <w:spacing w:line="160" w:lineRule="atLeast"/>
              <w:jc w:val="center"/>
              <w:rPr>
                <w:rFonts w:hint="eastAsia" w:hAnsi="宋体"/>
                <w:szCs w:val="21"/>
              </w:rPr>
            </w:pPr>
            <w:r>
              <w:rPr>
                <w:rFonts w:hint="eastAsia" w:hAnsi="宋体"/>
                <w:szCs w:val="21"/>
              </w:rPr>
              <w:t>评分因素与权重分值</w:t>
            </w:r>
          </w:p>
        </w:tc>
        <w:tc>
          <w:tcPr>
            <w:tcW w:w="5986" w:type="dxa"/>
            <w:gridSpan w:val="2"/>
            <w:vMerge w:val="restart"/>
            <w:vAlign w:val="center"/>
          </w:tcPr>
          <w:p>
            <w:pPr>
              <w:pStyle w:val="6"/>
              <w:spacing w:line="160" w:lineRule="atLeast"/>
              <w:jc w:val="center"/>
              <w:rPr>
                <w:rFonts w:hint="eastAsia" w:hAnsi="宋体"/>
                <w:szCs w:val="21"/>
              </w:rPr>
            </w:pPr>
            <w:r>
              <w:rPr>
                <w:rFonts w:hint="eastAsia"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7"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rPr>
                <w:rFonts w:hAnsi="宋体"/>
                <w:szCs w:val="21"/>
              </w:rPr>
            </w:pPr>
            <w:r>
              <w:rPr>
                <w:rFonts w:hint="eastAsia" w:hAnsi="宋体"/>
                <w:szCs w:val="21"/>
              </w:rPr>
              <w:t>条款号</w:t>
            </w:r>
          </w:p>
        </w:tc>
        <w:tc>
          <w:tcPr>
            <w:tcW w:w="740"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rPr>
                <w:rFonts w:hint="eastAsia" w:hAnsi="宋体"/>
                <w:szCs w:val="21"/>
              </w:rPr>
            </w:pPr>
            <w:r>
              <w:rPr>
                <w:rFonts w:hint="eastAsia" w:hAnsi="宋体"/>
                <w:szCs w:val="21"/>
              </w:rPr>
              <w:t>评分因素</w:t>
            </w:r>
          </w:p>
        </w:tc>
        <w:tc>
          <w:tcPr>
            <w:tcW w:w="973"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ind w:left="-53" w:leftChars="-19" w:right="-42" w:rightChars="-15" w:firstLine="1"/>
              <w:jc w:val="center"/>
              <w:rPr>
                <w:rFonts w:hAnsi="宋体"/>
                <w:szCs w:val="21"/>
              </w:rPr>
            </w:pPr>
            <w:r>
              <w:rPr>
                <w:rFonts w:hint="eastAsia" w:hAnsi="宋体"/>
                <w:szCs w:val="21"/>
              </w:rPr>
              <w:t>评分因素权重分值</w:t>
            </w:r>
          </w:p>
        </w:tc>
        <w:tc>
          <w:tcPr>
            <w:tcW w:w="1096"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rPr>
                <w:rFonts w:hAnsi="宋体"/>
                <w:szCs w:val="21"/>
              </w:rPr>
            </w:pPr>
            <w:r>
              <w:t>各评分因素细分项</w:t>
            </w:r>
          </w:p>
        </w:tc>
        <w:tc>
          <w:tcPr>
            <w:tcW w:w="686" w:type="dxa"/>
            <w:tcBorders>
              <w:left w:val="single" w:color="auto" w:sz="4" w:space="0"/>
            </w:tcBorders>
            <w:vAlign w:val="center"/>
          </w:tcPr>
          <w:p>
            <w:pPr>
              <w:pStyle w:val="6"/>
              <w:spacing w:line="160" w:lineRule="atLeast"/>
              <w:jc w:val="center"/>
              <w:rPr>
                <w:rFonts w:hAnsi="宋体"/>
                <w:szCs w:val="21"/>
              </w:rPr>
            </w:pPr>
            <w:r>
              <w:rPr>
                <w:rFonts w:hint="eastAsia" w:hAnsi="宋体"/>
                <w:szCs w:val="21"/>
              </w:rPr>
              <w:t>分值</w:t>
            </w:r>
          </w:p>
        </w:tc>
        <w:tc>
          <w:tcPr>
            <w:tcW w:w="5986" w:type="dxa"/>
            <w:gridSpan w:val="2"/>
            <w:vMerge w:val="continue"/>
            <w:vAlign w:val="center"/>
          </w:tcPr>
          <w:p>
            <w:pPr>
              <w:pStyle w:val="6"/>
              <w:spacing w:line="160" w:lineRule="atLeas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7" w:type="dxa"/>
            <w:vMerge w:val="restart"/>
            <w:tcBorders>
              <w:top w:val="single" w:color="auto" w:sz="4" w:space="0"/>
            </w:tcBorders>
            <w:vAlign w:val="center"/>
          </w:tcPr>
          <w:p>
            <w:pPr>
              <w:pStyle w:val="6"/>
              <w:spacing w:line="160" w:lineRule="atLeast"/>
              <w:jc w:val="center"/>
              <w:rPr>
                <w:rFonts w:hAnsi="宋体"/>
                <w:szCs w:val="21"/>
              </w:rPr>
            </w:pPr>
            <w:r>
              <w:rPr>
                <w:rFonts w:hint="eastAsia" w:hAnsi="宋体"/>
                <w:szCs w:val="21"/>
              </w:rPr>
              <w:t>2.2.4（1）</w:t>
            </w:r>
          </w:p>
        </w:tc>
        <w:tc>
          <w:tcPr>
            <w:tcW w:w="740" w:type="dxa"/>
            <w:vMerge w:val="restart"/>
            <w:tcBorders>
              <w:top w:val="single" w:color="auto" w:sz="4" w:space="0"/>
            </w:tcBorders>
            <w:vAlign w:val="center"/>
          </w:tcPr>
          <w:p>
            <w:pPr>
              <w:pStyle w:val="6"/>
              <w:spacing w:line="160" w:lineRule="atLeast"/>
              <w:jc w:val="center"/>
              <w:rPr>
                <w:rFonts w:hint="eastAsia" w:hAnsi="宋体"/>
                <w:szCs w:val="21"/>
              </w:rPr>
            </w:pPr>
            <w:r>
              <w:rPr>
                <w:rFonts w:hint="eastAsia" w:hAnsi="宋体"/>
                <w:szCs w:val="21"/>
              </w:rPr>
              <w:t>技术建议书</w:t>
            </w:r>
          </w:p>
        </w:tc>
        <w:tc>
          <w:tcPr>
            <w:tcW w:w="973" w:type="dxa"/>
            <w:vMerge w:val="restart"/>
            <w:tcBorders>
              <w:top w:val="single" w:color="auto" w:sz="4" w:space="0"/>
            </w:tcBorders>
            <w:vAlign w:val="center"/>
          </w:tcPr>
          <w:p>
            <w:pPr>
              <w:pStyle w:val="6"/>
              <w:spacing w:line="160" w:lineRule="atLeast"/>
              <w:jc w:val="center"/>
              <w:rPr>
                <w:rFonts w:hAnsi="宋体"/>
                <w:szCs w:val="21"/>
              </w:rPr>
            </w:pPr>
            <w:r>
              <w:rPr>
                <w:rFonts w:hint="eastAsia" w:hAnsi="宋体"/>
                <w:szCs w:val="21"/>
              </w:rPr>
              <w:t>30分</w:t>
            </w:r>
          </w:p>
        </w:tc>
        <w:tc>
          <w:tcPr>
            <w:tcW w:w="1096" w:type="dxa"/>
            <w:vMerge w:val="restart"/>
            <w:tcBorders>
              <w:top w:val="single" w:color="auto" w:sz="4" w:space="0"/>
            </w:tcBorders>
            <w:vAlign w:val="center"/>
          </w:tcPr>
          <w:p>
            <w:pPr>
              <w:pStyle w:val="6"/>
              <w:spacing w:line="160" w:lineRule="atLeast"/>
              <w:jc w:val="center"/>
              <w:rPr>
                <w:rFonts w:hint="eastAsia" w:hAnsi="宋体"/>
                <w:szCs w:val="21"/>
              </w:rPr>
            </w:pPr>
            <w:r>
              <w:rPr>
                <w:rFonts w:hint="eastAsia" w:hAnsi="宋体"/>
                <w:szCs w:val="21"/>
              </w:rPr>
              <w:t>项目概况及对项目的理解</w:t>
            </w:r>
          </w:p>
        </w:tc>
        <w:tc>
          <w:tcPr>
            <w:tcW w:w="686" w:type="dxa"/>
            <w:vMerge w:val="restart"/>
            <w:vAlign w:val="center"/>
          </w:tcPr>
          <w:p>
            <w:pPr>
              <w:pStyle w:val="6"/>
              <w:spacing w:line="160" w:lineRule="atLeast"/>
              <w:ind w:leftChars="-48" w:right="-42" w:rightChars="-15" w:hanging="134" w:hangingChars="64"/>
              <w:jc w:val="center"/>
              <w:rPr>
                <w:rFonts w:hAnsi="宋体"/>
                <w:szCs w:val="21"/>
              </w:rPr>
            </w:pPr>
            <w:r>
              <w:rPr>
                <w:rFonts w:hint="eastAsia" w:hAnsi="宋体"/>
                <w:szCs w:val="21"/>
              </w:rPr>
              <w:t>6分</w:t>
            </w:r>
          </w:p>
        </w:tc>
        <w:tc>
          <w:tcPr>
            <w:tcW w:w="5986" w:type="dxa"/>
            <w:gridSpan w:val="2"/>
            <w:vAlign w:val="center"/>
          </w:tcPr>
          <w:p>
            <w:pPr>
              <w:pStyle w:val="6"/>
              <w:jc w:val="left"/>
              <w:rPr>
                <w:rFonts w:hAnsi="宋体"/>
                <w:szCs w:val="21"/>
              </w:rPr>
            </w:pPr>
            <w:r>
              <w:rPr>
                <w:rFonts w:hint="eastAsia" w:hAnsi="宋体"/>
                <w:szCs w:val="21"/>
              </w:rPr>
              <w:t>科学合理5.2-6.0分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27" w:type="dxa"/>
            <w:vMerge w:val="continue"/>
            <w:vAlign w:val="center"/>
          </w:tcPr>
          <w:p>
            <w:pPr>
              <w:pStyle w:val="6"/>
              <w:spacing w:line="160" w:lineRule="atLeast"/>
              <w:jc w:val="center"/>
              <w:rPr>
                <w:rFonts w:hAnsi="宋体"/>
                <w:szCs w:val="21"/>
              </w:rPr>
            </w:pPr>
          </w:p>
        </w:tc>
        <w:tc>
          <w:tcPr>
            <w:tcW w:w="740" w:type="dxa"/>
            <w:vMerge w:val="continue"/>
            <w:vAlign w:val="center"/>
          </w:tcPr>
          <w:p>
            <w:pPr>
              <w:pStyle w:val="6"/>
              <w:spacing w:line="160" w:lineRule="atLeast"/>
              <w:jc w:val="center"/>
              <w:rPr>
                <w:rFonts w:hAnsi="宋体"/>
                <w:szCs w:val="21"/>
              </w:rPr>
            </w:pPr>
          </w:p>
        </w:tc>
        <w:tc>
          <w:tcPr>
            <w:tcW w:w="973" w:type="dxa"/>
            <w:vMerge w:val="continue"/>
            <w:vAlign w:val="center"/>
          </w:tcPr>
          <w:p>
            <w:pPr>
              <w:pStyle w:val="6"/>
              <w:spacing w:line="160" w:lineRule="atLeast"/>
              <w:jc w:val="center"/>
              <w:rPr>
                <w:rFonts w:hAnsi="宋体"/>
                <w:szCs w:val="21"/>
              </w:rPr>
            </w:pPr>
          </w:p>
        </w:tc>
        <w:tc>
          <w:tcPr>
            <w:tcW w:w="1096" w:type="dxa"/>
            <w:vMerge w:val="continue"/>
            <w:vAlign w:val="center"/>
          </w:tcPr>
          <w:p>
            <w:pPr>
              <w:pStyle w:val="6"/>
              <w:spacing w:line="160" w:lineRule="atLeast"/>
              <w:jc w:val="center"/>
              <w:rPr>
                <w:rFonts w:hAnsi="宋体"/>
                <w:szCs w:val="21"/>
              </w:rPr>
            </w:pPr>
          </w:p>
        </w:tc>
        <w:tc>
          <w:tcPr>
            <w:tcW w:w="686" w:type="dxa"/>
            <w:vMerge w:val="continue"/>
            <w:vAlign w:val="center"/>
          </w:tcPr>
          <w:p>
            <w:pPr>
              <w:pStyle w:val="6"/>
              <w:spacing w:line="160" w:lineRule="atLeast"/>
              <w:ind w:leftChars="-48" w:right="-42" w:rightChars="-15" w:hanging="134" w:hangingChars="64"/>
              <w:jc w:val="center"/>
              <w:rPr>
                <w:rFonts w:hAnsi="宋体"/>
                <w:szCs w:val="21"/>
              </w:rPr>
            </w:pPr>
          </w:p>
        </w:tc>
        <w:tc>
          <w:tcPr>
            <w:tcW w:w="5986" w:type="dxa"/>
            <w:gridSpan w:val="2"/>
            <w:vAlign w:val="center"/>
          </w:tcPr>
          <w:p>
            <w:pPr>
              <w:pStyle w:val="6"/>
              <w:jc w:val="left"/>
              <w:rPr>
                <w:rFonts w:hAnsi="宋体"/>
                <w:spacing w:val="-4"/>
                <w:szCs w:val="21"/>
              </w:rPr>
            </w:pPr>
            <w:r>
              <w:rPr>
                <w:rFonts w:hint="eastAsia" w:hAnsi="宋体"/>
                <w:spacing w:val="-4"/>
                <w:szCs w:val="21"/>
              </w:rPr>
              <w:t>较为科学合理，得4.4-5.1分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27" w:type="dxa"/>
            <w:vMerge w:val="continue"/>
            <w:vAlign w:val="center"/>
          </w:tcPr>
          <w:p>
            <w:pPr>
              <w:pStyle w:val="6"/>
              <w:spacing w:line="160" w:lineRule="atLeast"/>
              <w:jc w:val="center"/>
              <w:rPr>
                <w:rFonts w:hAnsi="宋体"/>
                <w:szCs w:val="21"/>
              </w:rPr>
            </w:pPr>
          </w:p>
        </w:tc>
        <w:tc>
          <w:tcPr>
            <w:tcW w:w="740" w:type="dxa"/>
            <w:vMerge w:val="continue"/>
            <w:vAlign w:val="center"/>
          </w:tcPr>
          <w:p>
            <w:pPr>
              <w:pStyle w:val="6"/>
              <w:spacing w:line="160" w:lineRule="atLeast"/>
              <w:jc w:val="center"/>
              <w:rPr>
                <w:rFonts w:hAnsi="宋体"/>
                <w:szCs w:val="21"/>
              </w:rPr>
            </w:pPr>
          </w:p>
        </w:tc>
        <w:tc>
          <w:tcPr>
            <w:tcW w:w="973" w:type="dxa"/>
            <w:vMerge w:val="continue"/>
            <w:vAlign w:val="center"/>
          </w:tcPr>
          <w:p>
            <w:pPr>
              <w:pStyle w:val="6"/>
              <w:spacing w:line="160" w:lineRule="atLeast"/>
              <w:jc w:val="center"/>
              <w:rPr>
                <w:rFonts w:hAnsi="宋体"/>
                <w:szCs w:val="21"/>
              </w:rPr>
            </w:pPr>
          </w:p>
        </w:tc>
        <w:tc>
          <w:tcPr>
            <w:tcW w:w="1096" w:type="dxa"/>
            <w:vMerge w:val="continue"/>
            <w:vAlign w:val="center"/>
          </w:tcPr>
          <w:p>
            <w:pPr>
              <w:pStyle w:val="6"/>
              <w:spacing w:line="160" w:lineRule="atLeast"/>
              <w:jc w:val="center"/>
              <w:rPr>
                <w:rFonts w:hAnsi="宋体"/>
                <w:szCs w:val="21"/>
              </w:rPr>
            </w:pPr>
          </w:p>
        </w:tc>
        <w:tc>
          <w:tcPr>
            <w:tcW w:w="686" w:type="dxa"/>
            <w:vMerge w:val="continue"/>
            <w:vAlign w:val="center"/>
          </w:tcPr>
          <w:p>
            <w:pPr>
              <w:pStyle w:val="6"/>
              <w:spacing w:line="160" w:lineRule="atLeast"/>
              <w:ind w:leftChars="-48" w:right="-42" w:rightChars="-15" w:hanging="134" w:hangingChars="64"/>
              <w:jc w:val="center"/>
              <w:rPr>
                <w:rFonts w:hAnsi="宋体"/>
                <w:szCs w:val="21"/>
              </w:rPr>
            </w:pPr>
          </w:p>
        </w:tc>
        <w:tc>
          <w:tcPr>
            <w:tcW w:w="5986" w:type="dxa"/>
            <w:gridSpan w:val="2"/>
            <w:vAlign w:val="center"/>
          </w:tcPr>
          <w:p>
            <w:pPr>
              <w:pStyle w:val="6"/>
              <w:jc w:val="left"/>
              <w:rPr>
                <w:rFonts w:hAnsi="宋体"/>
                <w:szCs w:val="21"/>
              </w:rPr>
            </w:pPr>
            <w:r>
              <w:rPr>
                <w:rFonts w:hint="eastAsia" w:hAnsi="宋体"/>
                <w:szCs w:val="21"/>
              </w:rPr>
              <w:t>一般，得3.6-4.3分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27" w:type="dxa"/>
            <w:vMerge w:val="continue"/>
            <w:vAlign w:val="center"/>
          </w:tcPr>
          <w:p>
            <w:pPr>
              <w:pStyle w:val="6"/>
              <w:spacing w:line="160" w:lineRule="atLeast"/>
              <w:jc w:val="center"/>
              <w:rPr>
                <w:rFonts w:hAnsi="宋体"/>
                <w:szCs w:val="21"/>
              </w:rPr>
            </w:pPr>
          </w:p>
        </w:tc>
        <w:tc>
          <w:tcPr>
            <w:tcW w:w="740" w:type="dxa"/>
            <w:vMerge w:val="continue"/>
            <w:vAlign w:val="center"/>
          </w:tcPr>
          <w:p>
            <w:pPr>
              <w:pStyle w:val="6"/>
              <w:spacing w:line="160" w:lineRule="atLeast"/>
              <w:jc w:val="center"/>
              <w:rPr>
                <w:rFonts w:hAnsi="宋体"/>
                <w:szCs w:val="21"/>
              </w:rPr>
            </w:pPr>
          </w:p>
        </w:tc>
        <w:tc>
          <w:tcPr>
            <w:tcW w:w="973" w:type="dxa"/>
            <w:vMerge w:val="continue"/>
            <w:vAlign w:val="center"/>
          </w:tcPr>
          <w:p>
            <w:pPr>
              <w:pStyle w:val="6"/>
              <w:spacing w:line="160" w:lineRule="atLeast"/>
              <w:jc w:val="center"/>
              <w:rPr>
                <w:rFonts w:hAnsi="宋体"/>
                <w:szCs w:val="21"/>
              </w:rPr>
            </w:pPr>
          </w:p>
        </w:tc>
        <w:tc>
          <w:tcPr>
            <w:tcW w:w="1096" w:type="dxa"/>
            <w:vMerge w:val="restart"/>
            <w:vAlign w:val="center"/>
          </w:tcPr>
          <w:p>
            <w:pPr>
              <w:pStyle w:val="6"/>
              <w:spacing w:line="160" w:lineRule="atLeast"/>
              <w:jc w:val="center"/>
              <w:rPr>
                <w:rFonts w:hint="eastAsia" w:hAnsi="宋体"/>
                <w:szCs w:val="21"/>
              </w:rPr>
            </w:pPr>
            <w:r>
              <w:rPr>
                <w:rFonts w:hint="eastAsia" w:hAnsi="宋体"/>
                <w:szCs w:val="21"/>
              </w:rPr>
              <w:t>工作程序</w:t>
            </w:r>
          </w:p>
        </w:tc>
        <w:tc>
          <w:tcPr>
            <w:tcW w:w="686" w:type="dxa"/>
            <w:vMerge w:val="restart"/>
            <w:vAlign w:val="center"/>
          </w:tcPr>
          <w:p>
            <w:pPr>
              <w:pStyle w:val="6"/>
              <w:spacing w:line="160" w:lineRule="atLeast"/>
              <w:jc w:val="center"/>
              <w:rPr>
                <w:rFonts w:hAnsi="宋体"/>
                <w:szCs w:val="21"/>
              </w:rPr>
            </w:pPr>
            <w:r>
              <w:rPr>
                <w:rFonts w:hint="eastAsia" w:hAnsi="宋体"/>
                <w:szCs w:val="21"/>
              </w:rPr>
              <w:t>6分</w:t>
            </w:r>
          </w:p>
        </w:tc>
        <w:tc>
          <w:tcPr>
            <w:tcW w:w="5986" w:type="dxa"/>
            <w:gridSpan w:val="2"/>
            <w:vAlign w:val="center"/>
          </w:tcPr>
          <w:p>
            <w:pPr>
              <w:pStyle w:val="6"/>
              <w:jc w:val="left"/>
              <w:rPr>
                <w:rFonts w:hAnsi="宋体"/>
                <w:szCs w:val="21"/>
              </w:rPr>
            </w:pPr>
            <w:r>
              <w:rPr>
                <w:rFonts w:hint="eastAsia" w:hAnsi="宋体"/>
                <w:szCs w:val="21"/>
              </w:rPr>
              <w:t>内容齐全，阶段划分合理、正确，可实施性强，得5.2-6.0分。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27" w:type="dxa"/>
            <w:vMerge w:val="continue"/>
            <w:vAlign w:val="center"/>
          </w:tcPr>
          <w:p>
            <w:pPr>
              <w:pStyle w:val="6"/>
              <w:spacing w:line="160" w:lineRule="atLeast"/>
              <w:jc w:val="center"/>
              <w:rPr>
                <w:rFonts w:hAnsi="宋体"/>
                <w:szCs w:val="21"/>
              </w:rPr>
            </w:pPr>
          </w:p>
        </w:tc>
        <w:tc>
          <w:tcPr>
            <w:tcW w:w="740" w:type="dxa"/>
            <w:vMerge w:val="continue"/>
            <w:vAlign w:val="center"/>
          </w:tcPr>
          <w:p>
            <w:pPr>
              <w:pStyle w:val="6"/>
              <w:spacing w:line="160" w:lineRule="atLeast"/>
              <w:jc w:val="center"/>
              <w:rPr>
                <w:rFonts w:hAnsi="宋体"/>
                <w:szCs w:val="21"/>
              </w:rPr>
            </w:pPr>
          </w:p>
        </w:tc>
        <w:tc>
          <w:tcPr>
            <w:tcW w:w="973" w:type="dxa"/>
            <w:vMerge w:val="continue"/>
            <w:vAlign w:val="center"/>
          </w:tcPr>
          <w:p>
            <w:pPr>
              <w:pStyle w:val="6"/>
              <w:spacing w:line="160" w:lineRule="atLeast"/>
              <w:jc w:val="center"/>
              <w:rPr>
                <w:rFonts w:hAnsi="宋体"/>
                <w:szCs w:val="21"/>
              </w:rPr>
            </w:pPr>
          </w:p>
        </w:tc>
        <w:tc>
          <w:tcPr>
            <w:tcW w:w="1096" w:type="dxa"/>
            <w:vMerge w:val="continue"/>
            <w:vAlign w:val="center"/>
          </w:tcPr>
          <w:p>
            <w:pPr>
              <w:pStyle w:val="6"/>
              <w:spacing w:line="160" w:lineRule="atLeast"/>
              <w:jc w:val="center"/>
              <w:rPr>
                <w:rFonts w:hint="eastAsia" w:hAnsi="宋体"/>
                <w:szCs w:val="21"/>
              </w:rPr>
            </w:pPr>
          </w:p>
        </w:tc>
        <w:tc>
          <w:tcPr>
            <w:tcW w:w="686" w:type="dxa"/>
            <w:vMerge w:val="continue"/>
            <w:vAlign w:val="center"/>
          </w:tcPr>
          <w:p>
            <w:pPr>
              <w:pStyle w:val="6"/>
              <w:spacing w:line="160" w:lineRule="atLeast"/>
              <w:jc w:val="center"/>
              <w:rPr>
                <w:rFonts w:hint="eastAsia" w:hAnsi="宋体"/>
                <w:szCs w:val="21"/>
              </w:rPr>
            </w:pPr>
          </w:p>
        </w:tc>
        <w:tc>
          <w:tcPr>
            <w:tcW w:w="5986" w:type="dxa"/>
            <w:gridSpan w:val="2"/>
            <w:vAlign w:val="center"/>
          </w:tcPr>
          <w:p>
            <w:pPr>
              <w:pStyle w:val="6"/>
              <w:jc w:val="left"/>
              <w:rPr>
                <w:rFonts w:hAnsi="宋体"/>
                <w:szCs w:val="21"/>
              </w:rPr>
            </w:pPr>
            <w:r>
              <w:rPr>
                <w:rFonts w:hint="eastAsia" w:hAnsi="宋体"/>
                <w:szCs w:val="21"/>
              </w:rPr>
              <w:t>内容较齐全，阶段划分较合理，可实施性较好，得</w:t>
            </w:r>
            <w:r>
              <w:rPr>
                <w:rFonts w:hint="eastAsia" w:hAnsi="宋体"/>
                <w:spacing w:val="-4"/>
                <w:szCs w:val="21"/>
              </w:rPr>
              <w:t>4.4-5.1</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27" w:type="dxa"/>
            <w:vMerge w:val="continue"/>
            <w:vAlign w:val="center"/>
          </w:tcPr>
          <w:p>
            <w:pPr>
              <w:pStyle w:val="6"/>
              <w:spacing w:line="160" w:lineRule="atLeast"/>
              <w:jc w:val="center"/>
              <w:rPr>
                <w:rFonts w:hAnsi="宋体"/>
                <w:szCs w:val="21"/>
              </w:rPr>
            </w:pPr>
          </w:p>
        </w:tc>
        <w:tc>
          <w:tcPr>
            <w:tcW w:w="740" w:type="dxa"/>
            <w:vMerge w:val="continue"/>
            <w:vAlign w:val="center"/>
          </w:tcPr>
          <w:p>
            <w:pPr>
              <w:pStyle w:val="6"/>
              <w:spacing w:line="160" w:lineRule="atLeast"/>
              <w:jc w:val="center"/>
              <w:rPr>
                <w:rFonts w:hAnsi="宋体"/>
                <w:szCs w:val="21"/>
              </w:rPr>
            </w:pPr>
          </w:p>
        </w:tc>
        <w:tc>
          <w:tcPr>
            <w:tcW w:w="973" w:type="dxa"/>
            <w:vMerge w:val="continue"/>
            <w:vAlign w:val="center"/>
          </w:tcPr>
          <w:p>
            <w:pPr>
              <w:pStyle w:val="6"/>
              <w:spacing w:line="160" w:lineRule="atLeast"/>
              <w:jc w:val="center"/>
              <w:rPr>
                <w:rFonts w:hAnsi="宋体"/>
                <w:szCs w:val="21"/>
              </w:rPr>
            </w:pPr>
          </w:p>
        </w:tc>
        <w:tc>
          <w:tcPr>
            <w:tcW w:w="1096" w:type="dxa"/>
            <w:vMerge w:val="continue"/>
            <w:vAlign w:val="center"/>
          </w:tcPr>
          <w:p>
            <w:pPr>
              <w:pStyle w:val="6"/>
              <w:spacing w:line="160" w:lineRule="atLeast"/>
              <w:jc w:val="center"/>
              <w:rPr>
                <w:rFonts w:hint="eastAsia" w:hAnsi="宋体"/>
                <w:szCs w:val="21"/>
              </w:rPr>
            </w:pPr>
          </w:p>
        </w:tc>
        <w:tc>
          <w:tcPr>
            <w:tcW w:w="686" w:type="dxa"/>
            <w:vMerge w:val="continue"/>
            <w:vAlign w:val="center"/>
          </w:tcPr>
          <w:p>
            <w:pPr>
              <w:pStyle w:val="6"/>
              <w:spacing w:line="160" w:lineRule="atLeast"/>
              <w:jc w:val="center"/>
              <w:rPr>
                <w:rFonts w:hint="eastAsia" w:hAnsi="宋体"/>
                <w:szCs w:val="21"/>
              </w:rPr>
            </w:pPr>
          </w:p>
        </w:tc>
        <w:tc>
          <w:tcPr>
            <w:tcW w:w="5986" w:type="dxa"/>
            <w:gridSpan w:val="2"/>
            <w:vAlign w:val="center"/>
          </w:tcPr>
          <w:p>
            <w:pPr>
              <w:pStyle w:val="6"/>
              <w:jc w:val="left"/>
              <w:rPr>
                <w:rFonts w:hAnsi="宋体"/>
                <w:szCs w:val="21"/>
              </w:rPr>
            </w:pPr>
            <w:r>
              <w:rPr>
                <w:rFonts w:hint="eastAsia" w:hAnsi="宋体"/>
                <w:szCs w:val="21"/>
              </w:rPr>
              <w:t>内容基本齐全，阶段划分基本合理，可实施性一般，得3.6-4.3分；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27" w:type="dxa"/>
            <w:vMerge w:val="continue"/>
            <w:vAlign w:val="center"/>
          </w:tcPr>
          <w:p>
            <w:pPr>
              <w:pStyle w:val="6"/>
              <w:spacing w:line="160" w:lineRule="atLeast"/>
              <w:jc w:val="center"/>
              <w:rPr>
                <w:rFonts w:hAnsi="宋体"/>
                <w:szCs w:val="21"/>
              </w:rPr>
            </w:pPr>
          </w:p>
        </w:tc>
        <w:tc>
          <w:tcPr>
            <w:tcW w:w="740" w:type="dxa"/>
            <w:vMerge w:val="continue"/>
          </w:tcPr>
          <w:p>
            <w:pPr>
              <w:pStyle w:val="6"/>
              <w:spacing w:line="160" w:lineRule="atLeast"/>
              <w:jc w:val="center"/>
              <w:rPr>
                <w:rFonts w:hint="eastAsia" w:hAnsi="宋体"/>
                <w:szCs w:val="21"/>
              </w:rPr>
            </w:pPr>
          </w:p>
        </w:tc>
        <w:tc>
          <w:tcPr>
            <w:tcW w:w="973" w:type="dxa"/>
            <w:vMerge w:val="continue"/>
            <w:vAlign w:val="center"/>
          </w:tcPr>
          <w:p>
            <w:pPr>
              <w:pStyle w:val="6"/>
              <w:spacing w:line="160" w:lineRule="atLeast"/>
              <w:jc w:val="center"/>
              <w:rPr>
                <w:rFonts w:hAnsi="宋体"/>
                <w:szCs w:val="21"/>
              </w:rPr>
            </w:pPr>
          </w:p>
        </w:tc>
        <w:tc>
          <w:tcPr>
            <w:tcW w:w="1096" w:type="dxa"/>
            <w:vMerge w:val="restart"/>
            <w:vAlign w:val="center"/>
          </w:tcPr>
          <w:p>
            <w:pPr>
              <w:pStyle w:val="6"/>
              <w:spacing w:line="160" w:lineRule="atLeast"/>
              <w:jc w:val="center"/>
              <w:rPr>
                <w:rFonts w:hint="eastAsia" w:hAnsi="宋体"/>
                <w:szCs w:val="21"/>
              </w:rPr>
            </w:pPr>
            <w:r>
              <w:rPr>
                <w:rFonts w:hint="eastAsia" w:hAnsi="宋体"/>
                <w:szCs w:val="21"/>
              </w:rPr>
              <w:t>服务内容及服务质量保证</w:t>
            </w:r>
          </w:p>
          <w:p>
            <w:pPr>
              <w:pStyle w:val="6"/>
              <w:spacing w:line="160" w:lineRule="atLeast"/>
              <w:jc w:val="center"/>
              <w:rPr>
                <w:rFonts w:hint="eastAsia" w:hAnsi="宋体"/>
                <w:szCs w:val="21"/>
              </w:rPr>
            </w:pPr>
            <w:r>
              <w:rPr>
                <w:rFonts w:hint="eastAsia" w:hAnsi="宋体"/>
                <w:szCs w:val="21"/>
              </w:rPr>
              <w:t>措施</w:t>
            </w:r>
          </w:p>
        </w:tc>
        <w:tc>
          <w:tcPr>
            <w:tcW w:w="686" w:type="dxa"/>
            <w:vMerge w:val="restart"/>
            <w:vAlign w:val="center"/>
          </w:tcPr>
          <w:p>
            <w:pPr>
              <w:pStyle w:val="6"/>
              <w:spacing w:line="160" w:lineRule="atLeast"/>
              <w:ind w:leftChars="-48" w:right="-42" w:rightChars="-15" w:hanging="134" w:hangingChars="64"/>
              <w:jc w:val="center"/>
              <w:rPr>
                <w:rFonts w:hAnsi="宋体"/>
                <w:szCs w:val="21"/>
              </w:rPr>
            </w:pPr>
            <w:r>
              <w:rPr>
                <w:rFonts w:hint="eastAsia" w:hAnsi="宋体"/>
                <w:szCs w:val="21"/>
              </w:rPr>
              <w:t>6分</w:t>
            </w:r>
          </w:p>
        </w:tc>
        <w:tc>
          <w:tcPr>
            <w:tcW w:w="5986" w:type="dxa"/>
            <w:gridSpan w:val="2"/>
            <w:vAlign w:val="center"/>
          </w:tcPr>
          <w:p>
            <w:pPr>
              <w:pStyle w:val="6"/>
              <w:jc w:val="left"/>
              <w:rPr>
                <w:rFonts w:hAnsi="宋体"/>
                <w:szCs w:val="21"/>
              </w:rPr>
            </w:pPr>
            <w:r>
              <w:rPr>
                <w:rFonts w:hint="eastAsia" w:hAnsi="宋体"/>
                <w:szCs w:val="21"/>
              </w:rPr>
              <w:t>服</w:t>
            </w:r>
            <w:r>
              <w:rPr>
                <w:rFonts w:hint="eastAsia" w:hAnsi="宋体"/>
                <w:spacing w:val="-11"/>
                <w:szCs w:val="21"/>
              </w:rPr>
              <w:t>务内容及服务质量保证措施科学合理，可操作性强，得</w:t>
            </w:r>
            <w:r>
              <w:rPr>
                <w:rFonts w:hint="eastAsia" w:hAnsi="宋体"/>
                <w:szCs w:val="21"/>
              </w:rPr>
              <w:t>5.2-6.0</w:t>
            </w:r>
            <w:r>
              <w:rPr>
                <w:rFonts w:hint="eastAsia" w:hAnsi="宋体"/>
                <w:spacing w:val="-1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7" w:type="dxa"/>
            <w:vMerge w:val="continue"/>
          </w:tcPr>
          <w:p>
            <w:pPr>
              <w:pStyle w:val="6"/>
              <w:spacing w:line="160" w:lineRule="atLeast"/>
              <w:jc w:val="center"/>
              <w:rPr>
                <w:rFonts w:hAnsi="宋体"/>
                <w:szCs w:val="21"/>
              </w:rPr>
            </w:pPr>
          </w:p>
        </w:tc>
        <w:tc>
          <w:tcPr>
            <w:tcW w:w="740" w:type="dxa"/>
            <w:vMerge w:val="continue"/>
          </w:tcPr>
          <w:p>
            <w:pPr>
              <w:pStyle w:val="6"/>
              <w:spacing w:line="160" w:lineRule="atLeast"/>
              <w:jc w:val="center"/>
              <w:rPr>
                <w:rFonts w:hAnsi="宋体"/>
                <w:szCs w:val="21"/>
              </w:rPr>
            </w:pPr>
          </w:p>
        </w:tc>
        <w:tc>
          <w:tcPr>
            <w:tcW w:w="973" w:type="dxa"/>
            <w:vMerge w:val="continue"/>
          </w:tcPr>
          <w:p>
            <w:pPr>
              <w:pStyle w:val="6"/>
              <w:spacing w:line="160" w:lineRule="atLeast"/>
              <w:jc w:val="center"/>
              <w:rPr>
                <w:rFonts w:hAnsi="宋体"/>
                <w:szCs w:val="21"/>
              </w:rPr>
            </w:pPr>
          </w:p>
        </w:tc>
        <w:tc>
          <w:tcPr>
            <w:tcW w:w="1096" w:type="dxa"/>
            <w:vMerge w:val="continue"/>
          </w:tcPr>
          <w:p>
            <w:pPr>
              <w:pStyle w:val="6"/>
              <w:spacing w:line="160" w:lineRule="atLeast"/>
              <w:jc w:val="center"/>
              <w:rPr>
                <w:rFonts w:hAnsi="宋体"/>
                <w:szCs w:val="21"/>
              </w:rPr>
            </w:pPr>
          </w:p>
        </w:tc>
        <w:tc>
          <w:tcPr>
            <w:tcW w:w="686" w:type="dxa"/>
            <w:vMerge w:val="continue"/>
            <w:vAlign w:val="center"/>
          </w:tcPr>
          <w:p>
            <w:pPr>
              <w:pStyle w:val="6"/>
              <w:spacing w:line="160" w:lineRule="atLeast"/>
              <w:jc w:val="center"/>
              <w:rPr>
                <w:rFonts w:hAnsi="宋体"/>
                <w:szCs w:val="21"/>
              </w:rPr>
            </w:pPr>
          </w:p>
        </w:tc>
        <w:tc>
          <w:tcPr>
            <w:tcW w:w="5986" w:type="dxa"/>
            <w:gridSpan w:val="2"/>
            <w:vAlign w:val="center"/>
          </w:tcPr>
          <w:p>
            <w:pPr>
              <w:pStyle w:val="6"/>
              <w:jc w:val="left"/>
              <w:rPr>
                <w:rFonts w:hAnsi="宋体"/>
                <w:szCs w:val="21"/>
              </w:rPr>
            </w:pPr>
            <w:r>
              <w:rPr>
                <w:rFonts w:hint="eastAsia" w:hAnsi="宋体"/>
                <w:szCs w:val="21"/>
              </w:rPr>
              <w:t>服务内容及服务质量保证措施较为科学合理，可操作性一般，得</w:t>
            </w:r>
            <w:r>
              <w:rPr>
                <w:rFonts w:hint="eastAsia" w:hAnsi="宋体"/>
                <w:spacing w:val="-4"/>
                <w:szCs w:val="21"/>
              </w:rPr>
              <w:t>4.4-5.1</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7" w:type="dxa"/>
            <w:vMerge w:val="continue"/>
          </w:tcPr>
          <w:p>
            <w:pPr>
              <w:pStyle w:val="6"/>
              <w:spacing w:line="160" w:lineRule="atLeast"/>
              <w:jc w:val="center"/>
              <w:rPr>
                <w:rFonts w:hAnsi="宋体"/>
                <w:szCs w:val="21"/>
              </w:rPr>
            </w:pPr>
          </w:p>
        </w:tc>
        <w:tc>
          <w:tcPr>
            <w:tcW w:w="740" w:type="dxa"/>
            <w:vMerge w:val="continue"/>
          </w:tcPr>
          <w:p>
            <w:pPr>
              <w:pStyle w:val="6"/>
              <w:spacing w:line="160" w:lineRule="atLeast"/>
              <w:jc w:val="center"/>
              <w:rPr>
                <w:rFonts w:hAnsi="宋体"/>
                <w:szCs w:val="21"/>
              </w:rPr>
            </w:pPr>
          </w:p>
        </w:tc>
        <w:tc>
          <w:tcPr>
            <w:tcW w:w="973" w:type="dxa"/>
            <w:vMerge w:val="continue"/>
          </w:tcPr>
          <w:p>
            <w:pPr>
              <w:pStyle w:val="6"/>
              <w:spacing w:line="160" w:lineRule="atLeast"/>
              <w:jc w:val="center"/>
              <w:rPr>
                <w:rFonts w:hAnsi="宋体"/>
                <w:szCs w:val="21"/>
              </w:rPr>
            </w:pPr>
          </w:p>
        </w:tc>
        <w:tc>
          <w:tcPr>
            <w:tcW w:w="1096" w:type="dxa"/>
            <w:vMerge w:val="continue"/>
          </w:tcPr>
          <w:p>
            <w:pPr>
              <w:pStyle w:val="6"/>
              <w:spacing w:line="160" w:lineRule="atLeast"/>
              <w:jc w:val="center"/>
              <w:rPr>
                <w:rFonts w:hAnsi="宋体"/>
                <w:szCs w:val="21"/>
              </w:rPr>
            </w:pPr>
          </w:p>
        </w:tc>
        <w:tc>
          <w:tcPr>
            <w:tcW w:w="686" w:type="dxa"/>
            <w:vMerge w:val="continue"/>
            <w:vAlign w:val="center"/>
          </w:tcPr>
          <w:p>
            <w:pPr>
              <w:pStyle w:val="6"/>
              <w:spacing w:line="160" w:lineRule="atLeast"/>
              <w:jc w:val="center"/>
              <w:rPr>
                <w:rFonts w:hAnsi="宋体"/>
                <w:szCs w:val="21"/>
              </w:rPr>
            </w:pPr>
          </w:p>
        </w:tc>
        <w:tc>
          <w:tcPr>
            <w:tcW w:w="5986" w:type="dxa"/>
            <w:gridSpan w:val="2"/>
            <w:vAlign w:val="center"/>
          </w:tcPr>
          <w:p>
            <w:pPr>
              <w:pStyle w:val="6"/>
              <w:jc w:val="left"/>
              <w:rPr>
                <w:rFonts w:hAnsi="宋体"/>
                <w:szCs w:val="21"/>
              </w:rPr>
            </w:pPr>
            <w:r>
              <w:rPr>
                <w:rFonts w:hint="eastAsia" w:hAnsi="宋体"/>
                <w:szCs w:val="21"/>
              </w:rPr>
              <w:t>服务内容及服务质量保证措施一般，可操作性差，得3.6-4.3分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27" w:type="dxa"/>
            <w:vMerge w:val="continue"/>
            <w:vAlign w:val="center"/>
          </w:tcPr>
          <w:p>
            <w:pPr>
              <w:pStyle w:val="6"/>
              <w:spacing w:line="160" w:lineRule="atLeast"/>
              <w:jc w:val="center"/>
              <w:rPr>
                <w:rFonts w:hAnsi="宋体"/>
                <w:szCs w:val="21"/>
              </w:rPr>
            </w:pPr>
          </w:p>
        </w:tc>
        <w:tc>
          <w:tcPr>
            <w:tcW w:w="740" w:type="dxa"/>
            <w:vMerge w:val="continue"/>
          </w:tcPr>
          <w:p>
            <w:pPr>
              <w:pStyle w:val="6"/>
              <w:spacing w:line="160" w:lineRule="atLeast"/>
              <w:jc w:val="center"/>
              <w:rPr>
                <w:rFonts w:hint="eastAsia" w:hAnsi="宋体"/>
                <w:szCs w:val="21"/>
              </w:rPr>
            </w:pPr>
          </w:p>
        </w:tc>
        <w:tc>
          <w:tcPr>
            <w:tcW w:w="973" w:type="dxa"/>
            <w:vMerge w:val="continue"/>
            <w:vAlign w:val="center"/>
          </w:tcPr>
          <w:p>
            <w:pPr>
              <w:pStyle w:val="6"/>
              <w:spacing w:line="160" w:lineRule="atLeast"/>
              <w:jc w:val="center"/>
              <w:rPr>
                <w:rFonts w:hAnsi="宋体"/>
                <w:szCs w:val="21"/>
              </w:rPr>
            </w:pPr>
          </w:p>
        </w:tc>
        <w:tc>
          <w:tcPr>
            <w:tcW w:w="1096" w:type="dxa"/>
            <w:vMerge w:val="restart"/>
            <w:vAlign w:val="center"/>
          </w:tcPr>
          <w:p>
            <w:pPr>
              <w:pStyle w:val="6"/>
              <w:spacing w:line="160" w:lineRule="atLeast"/>
              <w:ind w:right="-78" w:rightChars="-28"/>
              <w:jc w:val="center"/>
              <w:rPr>
                <w:rFonts w:hint="eastAsia" w:hAnsi="宋体"/>
                <w:szCs w:val="21"/>
              </w:rPr>
            </w:pPr>
            <w:r>
              <w:rPr>
                <w:rFonts w:hint="eastAsia" w:hAnsi="宋体"/>
                <w:szCs w:val="21"/>
              </w:rPr>
              <w:t>进度计划安排及保证措施</w:t>
            </w:r>
          </w:p>
        </w:tc>
        <w:tc>
          <w:tcPr>
            <w:tcW w:w="686" w:type="dxa"/>
            <w:vMerge w:val="restart"/>
            <w:vAlign w:val="center"/>
          </w:tcPr>
          <w:p>
            <w:pPr>
              <w:pStyle w:val="6"/>
              <w:spacing w:line="160" w:lineRule="atLeast"/>
              <w:jc w:val="center"/>
              <w:rPr>
                <w:rFonts w:hAnsi="宋体"/>
                <w:szCs w:val="21"/>
              </w:rPr>
            </w:pPr>
            <w:r>
              <w:rPr>
                <w:rFonts w:hint="eastAsia" w:hAnsi="宋体"/>
                <w:szCs w:val="21"/>
              </w:rPr>
              <w:t>6分</w:t>
            </w:r>
          </w:p>
        </w:tc>
        <w:tc>
          <w:tcPr>
            <w:tcW w:w="5986" w:type="dxa"/>
            <w:gridSpan w:val="2"/>
            <w:vAlign w:val="center"/>
          </w:tcPr>
          <w:p>
            <w:pPr>
              <w:pStyle w:val="6"/>
              <w:spacing w:line="300" w:lineRule="exact"/>
              <w:jc w:val="left"/>
              <w:rPr>
                <w:rFonts w:hAnsi="宋体"/>
                <w:szCs w:val="21"/>
              </w:rPr>
            </w:pPr>
            <w:r>
              <w:rPr>
                <w:rFonts w:hint="eastAsia" w:hAnsi="宋体"/>
                <w:szCs w:val="21"/>
              </w:rPr>
              <w:t>进度计划安排及保证措施科学合理，可操作性强，得5.2-6.0分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27" w:type="dxa"/>
            <w:vMerge w:val="continue"/>
          </w:tcPr>
          <w:p>
            <w:pPr>
              <w:pStyle w:val="6"/>
              <w:spacing w:line="160" w:lineRule="atLeast"/>
              <w:jc w:val="center"/>
              <w:rPr>
                <w:rFonts w:hAnsi="宋体"/>
                <w:szCs w:val="21"/>
              </w:rPr>
            </w:pPr>
          </w:p>
        </w:tc>
        <w:tc>
          <w:tcPr>
            <w:tcW w:w="740" w:type="dxa"/>
            <w:vMerge w:val="continue"/>
          </w:tcPr>
          <w:p>
            <w:pPr>
              <w:pStyle w:val="6"/>
              <w:spacing w:line="160" w:lineRule="atLeast"/>
              <w:jc w:val="center"/>
              <w:rPr>
                <w:rFonts w:hAnsi="宋体"/>
                <w:szCs w:val="21"/>
              </w:rPr>
            </w:pPr>
          </w:p>
        </w:tc>
        <w:tc>
          <w:tcPr>
            <w:tcW w:w="973" w:type="dxa"/>
            <w:vMerge w:val="continue"/>
          </w:tcPr>
          <w:p>
            <w:pPr>
              <w:pStyle w:val="6"/>
              <w:spacing w:line="160" w:lineRule="atLeast"/>
              <w:jc w:val="center"/>
              <w:rPr>
                <w:rFonts w:hAnsi="宋体"/>
                <w:szCs w:val="21"/>
              </w:rPr>
            </w:pPr>
          </w:p>
        </w:tc>
        <w:tc>
          <w:tcPr>
            <w:tcW w:w="1096" w:type="dxa"/>
            <w:vMerge w:val="continue"/>
          </w:tcPr>
          <w:p>
            <w:pPr>
              <w:pStyle w:val="6"/>
              <w:spacing w:line="160" w:lineRule="atLeast"/>
              <w:jc w:val="center"/>
              <w:rPr>
                <w:rFonts w:hAnsi="宋体"/>
                <w:szCs w:val="21"/>
              </w:rPr>
            </w:pPr>
          </w:p>
        </w:tc>
        <w:tc>
          <w:tcPr>
            <w:tcW w:w="686" w:type="dxa"/>
            <w:vMerge w:val="continue"/>
            <w:vAlign w:val="center"/>
          </w:tcPr>
          <w:p>
            <w:pPr>
              <w:pStyle w:val="6"/>
              <w:spacing w:line="160" w:lineRule="atLeast"/>
              <w:jc w:val="center"/>
              <w:rPr>
                <w:rFonts w:hAnsi="宋体"/>
                <w:szCs w:val="21"/>
              </w:rPr>
            </w:pPr>
          </w:p>
        </w:tc>
        <w:tc>
          <w:tcPr>
            <w:tcW w:w="5986" w:type="dxa"/>
            <w:gridSpan w:val="2"/>
            <w:vAlign w:val="center"/>
          </w:tcPr>
          <w:p>
            <w:pPr>
              <w:pStyle w:val="6"/>
              <w:spacing w:line="300" w:lineRule="exact"/>
              <w:jc w:val="left"/>
              <w:rPr>
                <w:rFonts w:hAnsi="宋体"/>
                <w:szCs w:val="21"/>
              </w:rPr>
            </w:pPr>
            <w:r>
              <w:rPr>
                <w:rFonts w:hint="eastAsia" w:hAnsi="宋体"/>
                <w:szCs w:val="21"/>
              </w:rPr>
              <w:t>进度计划安排及保证措施较为科学合理，可操作性一般，得4.4-5.1分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27" w:type="dxa"/>
            <w:vMerge w:val="continue"/>
          </w:tcPr>
          <w:p>
            <w:pPr>
              <w:pStyle w:val="6"/>
              <w:spacing w:line="160" w:lineRule="atLeast"/>
              <w:jc w:val="center"/>
              <w:rPr>
                <w:rFonts w:hAnsi="宋体"/>
                <w:szCs w:val="21"/>
              </w:rPr>
            </w:pPr>
          </w:p>
        </w:tc>
        <w:tc>
          <w:tcPr>
            <w:tcW w:w="740" w:type="dxa"/>
            <w:vMerge w:val="continue"/>
          </w:tcPr>
          <w:p>
            <w:pPr>
              <w:pStyle w:val="6"/>
              <w:spacing w:line="160" w:lineRule="atLeast"/>
              <w:jc w:val="center"/>
              <w:rPr>
                <w:rFonts w:hAnsi="宋体"/>
                <w:szCs w:val="21"/>
              </w:rPr>
            </w:pPr>
          </w:p>
        </w:tc>
        <w:tc>
          <w:tcPr>
            <w:tcW w:w="973" w:type="dxa"/>
            <w:vMerge w:val="continue"/>
          </w:tcPr>
          <w:p>
            <w:pPr>
              <w:pStyle w:val="6"/>
              <w:spacing w:line="160" w:lineRule="atLeast"/>
              <w:jc w:val="center"/>
              <w:rPr>
                <w:rFonts w:hAnsi="宋体"/>
                <w:szCs w:val="21"/>
              </w:rPr>
            </w:pPr>
          </w:p>
        </w:tc>
        <w:tc>
          <w:tcPr>
            <w:tcW w:w="1096" w:type="dxa"/>
            <w:vMerge w:val="continue"/>
          </w:tcPr>
          <w:p>
            <w:pPr>
              <w:pStyle w:val="6"/>
              <w:spacing w:line="160" w:lineRule="atLeast"/>
              <w:jc w:val="center"/>
              <w:rPr>
                <w:rFonts w:hAnsi="宋体"/>
                <w:szCs w:val="21"/>
              </w:rPr>
            </w:pPr>
          </w:p>
        </w:tc>
        <w:tc>
          <w:tcPr>
            <w:tcW w:w="686" w:type="dxa"/>
            <w:vMerge w:val="continue"/>
            <w:vAlign w:val="center"/>
          </w:tcPr>
          <w:p>
            <w:pPr>
              <w:pStyle w:val="6"/>
              <w:spacing w:line="160" w:lineRule="atLeast"/>
              <w:jc w:val="center"/>
              <w:rPr>
                <w:rFonts w:hAnsi="宋体"/>
                <w:szCs w:val="21"/>
              </w:rPr>
            </w:pPr>
          </w:p>
        </w:tc>
        <w:tc>
          <w:tcPr>
            <w:tcW w:w="5986" w:type="dxa"/>
            <w:gridSpan w:val="2"/>
            <w:vAlign w:val="center"/>
          </w:tcPr>
          <w:p>
            <w:pPr>
              <w:pStyle w:val="6"/>
              <w:spacing w:line="300" w:lineRule="exact"/>
              <w:jc w:val="left"/>
              <w:rPr>
                <w:rFonts w:hAnsi="宋体"/>
                <w:szCs w:val="21"/>
              </w:rPr>
            </w:pPr>
            <w:r>
              <w:rPr>
                <w:rFonts w:hint="eastAsia" w:hAnsi="宋体"/>
                <w:szCs w:val="21"/>
              </w:rPr>
              <w:t>进度计划安排及保证措施一般，可操作性差，得3.6-4.3分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27" w:type="dxa"/>
            <w:vMerge w:val="continue"/>
            <w:vAlign w:val="center"/>
          </w:tcPr>
          <w:p>
            <w:pPr>
              <w:pStyle w:val="6"/>
              <w:spacing w:line="160" w:lineRule="atLeast"/>
              <w:jc w:val="center"/>
              <w:rPr>
                <w:rFonts w:hAnsi="宋体"/>
                <w:szCs w:val="21"/>
              </w:rPr>
            </w:pPr>
          </w:p>
        </w:tc>
        <w:tc>
          <w:tcPr>
            <w:tcW w:w="740" w:type="dxa"/>
            <w:vMerge w:val="continue"/>
          </w:tcPr>
          <w:p>
            <w:pPr>
              <w:pStyle w:val="6"/>
              <w:spacing w:line="160" w:lineRule="atLeast"/>
              <w:jc w:val="center"/>
              <w:rPr>
                <w:rFonts w:hint="eastAsia" w:hAnsi="宋体"/>
                <w:szCs w:val="21"/>
              </w:rPr>
            </w:pPr>
          </w:p>
        </w:tc>
        <w:tc>
          <w:tcPr>
            <w:tcW w:w="973" w:type="dxa"/>
            <w:vMerge w:val="continue"/>
            <w:vAlign w:val="center"/>
          </w:tcPr>
          <w:p>
            <w:pPr>
              <w:pStyle w:val="6"/>
              <w:spacing w:line="160" w:lineRule="atLeast"/>
              <w:jc w:val="center"/>
              <w:rPr>
                <w:rFonts w:hAnsi="宋体"/>
                <w:szCs w:val="21"/>
              </w:rPr>
            </w:pPr>
          </w:p>
        </w:tc>
        <w:tc>
          <w:tcPr>
            <w:tcW w:w="1096" w:type="dxa"/>
            <w:vMerge w:val="restart"/>
            <w:vAlign w:val="center"/>
          </w:tcPr>
          <w:p>
            <w:pPr>
              <w:pStyle w:val="6"/>
              <w:spacing w:line="160" w:lineRule="atLeast"/>
              <w:jc w:val="center"/>
              <w:rPr>
                <w:rFonts w:hint="eastAsia" w:hAnsi="宋体"/>
                <w:szCs w:val="21"/>
              </w:rPr>
            </w:pPr>
            <w:r>
              <w:rPr>
                <w:rFonts w:hint="eastAsia" w:hAnsi="宋体"/>
                <w:szCs w:val="21"/>
              </w:rPr>
              <w:t>后期服务方案和技术支持</w:t>
            </w:r>
          </w:p>
          <w:p>
            <w:pPr>
              <w:pStyle w:val="6"/>
              <w:spacing w:line="160" w:lineRule="atLeast"/>
              <w:jc w:val="center"/>
              <w:rPr>
                <w:rFonts w:hint="eastAsia" w:hAnsi="宋体"/>
                <w:szCs w:val="21"/>
              </w:rPr>
            </w:pPr>
            <w:r>
              <w:rPr>
                <w:rFonts w:hint="eastAsia" w:hAnsi="宋体"/>
                <w:szCs w:val="21"/>
              </w:rPr>
              <w:t>体系</w:t>
            </w:r>
          </w:p>
        </w:tc>
        <w:tc>
          <w:tcPr>
            <w:tcW w:w="686" w:type="dxa"/>
            <w:vMerge w:val="restart"/>
            <w:vAlign w:val="center"/>
          </w:tcPr>
          <w:p>
            <w:pPr>
              <w:pStyle w:val="6"/>
              <w:spacing w:line="160" w:lineRule="atLeast"/>
              <w:jc w:val="center"/>
              <w:rPr>
                <w:rFonts w:hAnsi="宋体"/>
                <w:szCs w:val="21"/>
              </w:rPr>
            </w:pPr>
            <w:r>
              <w:rPr>
                <w:rFonts w:hint="eastAsia" w:hAnsi="宋体"/>
                <w:szCs w:val="21"/>
              </w:rPr>
              <w:t>6分</w:t>
            </w:r>
          </w:p>
        </w:tc>
        <w:tc>
          <w:tcPr>
            <w:tcW w:w="5986" w:type="dxa"/>
            <w:gridSpan w:val="2"/>
            <w:vAlign w:val="center"/>
          </w:tcPr>
          <w:p>
            <w:pPr>
              <w:pStyle w:val="6"/>
              <w:spacing w:line="300" w:lineRule="exact"/>
              <w:jc w:val="left"/>
              <w:rPr>
                <w:rFonts w:hAnsi="宋体"/>
                <w:szCs w:val="21"/>
              </w:rPr>
            </w:pPr>
            <w:r>
              <w:rPr>
                <w:rFonts w:hint="eastAsia" w:hAnsi="宋体"/>
                <w:szCs w:val="21"/>
              </w:rPr>
              <w:t>方案合理，内容详细，体系完善，可行性强，得5.2-6.0分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27" w:type="dxa"/>
            <w:vMerge w:val="continue"/>
          </w:tcPr>
          <w:p>
            <w:pPr>
              <w:pStyle w:val="6"/>
              <w:spacing w:line="160" w:lineRule="atLeast"/>
              <w:jc w:val="center"/>
              <w:rPr>
                <w:rFonts w:hAnsi="宋体"/>
                <w:szCs w:val="21"/>
              </w:rPr>
            </w:pPr>
          </w:p>
        </w:tc>
        <w:tc>
          <w:tcPr>
            <w:tcW w:w="740" w:type="dxa"/>
            <w:vMerge w:val="continue"/>
          </w:tcPr>
          <w:p>
            <w:pPr>
              <w:pStyle w:val="6"/>
              <w:spacing w:line="160" w:lineRule="atLeast"/>
              <w:jc w:val="center"/>
              <w:rPr>
                <w:rFonts w:hAnsi="宋体"/>
                <w:szCs w:val="21"/>
              </w:rPr>
            </w:pPr>
          </w:p>
        </w:tc>
        <w:tc>
          <w:tcPr>
            <w:tcW w:w="973" w:type="dxa"/>
            <w:vMerge w:val="continue"/>
          </w:tcPr>
          <w:p>
            <w:pPr>
              <w:pStyle w:val="6"/>
              <w:spacing w:line="160" w:lineRule="atLeast"/>
              <w:jc w:val="center"/>
              <w:rPr>
                <w:rFonts w:hAnsi="宋体"/>
                <w:szCs w:val="21"/>
              </w:rPr>
            </w:pPr>
          </w:p>
        </w:tc>
        <w:tc>
          <w:tcPr>
            <w:tcW w:w="1096" w:type="dxa"/>
            <w:vMerge w:val="continue"/>
          </w:tcPr>
          <w:p>
            <w:pPr>
              <w:pStyle w:val="6"/>
              <w:spacing w:line="160" w:lineRule="atLeast"/>
              <w:jc w:val="center"/>
              <w:rPr>
                <w:rFonts w:hAnsi="宋体"/>
                <w:szCs w:val="21"/>
              </w:rPr>
            </w:pPr>
          </w:p>
        </w:tc>
        <w:tc>
          <w:tcPr>
            <w:tcW w:w="686" w:type="dxa"/>
            <w:vMerge w:val="continue"/>
            <w:vAlign w:val="center"/>
          </w:tcPr>
          <w:p>
            <w:pPr>
              <w:pStyle w:val="6"/>
              <w:spacing w:line="160" w:lineRule="atLeast"/>
              <w:jc w:val="center"/>
              <w:rPr>
                <w:rFonts w:hAnsi="宋体"/>
                <w:szCs w:val="21"/>
              </w:rPr>
            </w:pPr>
          </w:p>
        </w:tc>
        <w:tc>
          <w:tcPr>
            <w:tcW w:w="5986" w:type="dxa"/>
            <w:gridSpan w:val="2"/>
            <w:vAlign w:val="center"/>
          </w:tcPr>
          <w:p>
            <w:pPr>
              <w:pStyle w:val="6"/>
              <w:spacing w:line="300" w:lineRule="exact"/>
              <w:jc w:val="left"/>
              <w:rPr>
                <w:rFonts w:hAnsi="宋体"/>
                <w:szCs w:val="21"/>
              </w:rPr>
            </w:pPr>
            <w:r>
              <w:rPr>
                <w:rFonts w:hint="eastAsia" w:hAnsi="宋体"/>
                <w:szCs w:val="21"/>
              </w:rPr>
              <w:t>方</w:t>
            </w:r>
            <w:r>
              <w:rPr>
                <w:rFonts w:hint="eastAsia" w:hAnsi="宋体"/>
                <w:spacing w:val="-11"/>
                <w:szCs w:val="21"/>
              </w:rPr>
              <w:t>案较合理，内容较详细，体系合理，可行性较好，得</w:t>
            </w:r>
            <w:r>
              <w:rPr>
                <w:rFonts w:hint="eastAsia" w:hAnsi="宋体"/>
                <w:spacing w:val="-4"/>
                <w:szCs w:val="21"/>
              </w:rPr>
              <w:t>4.4-5.1</w:t>
            </w:r>
            <w:r>
              <w:rPr>
                <w:rFonts w:hint="eastAsia" w:hAnsi="宋体"/>
                <w:spacing w:val="-1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27" w:type="dxa"/>
            <w:vMerge w:val="continue"/>
          </w:tcPr>
          <w:p>
            <w:pPr>
              <w:pStyle w:val="6"/>
              <w:spacing w:line="160" w:lineRule="atLeast"/>
              <w:jc w:val="center"/>
              <w:rPr>
                <w:rFonts w:hAnsi="宋体"/>
                <w:szCs w:val="21"/>
              </w:rPr>
            </w:pPr>
          </w:p>
        </w:tc>
        <w:tc>
          <w:tcPr>
            <w:tcW w:w="740" w:type="dxa"/>
            <w:vMerge w:val="continue"/>
          </w:tcPr>
          <w:p>
            <w:pPr>
              <w:pStyle w:val="6"/>
              <w:spacing w:line="160" w:lineRule="atLeast"/>
              <w:jc w:val="center"/>
              <w:rPr>
                <w:rFonts w:hAnsi="宋体"/>
                <w:szCs w:val="21"/>
              </w:rPr>
            </w:pPr>
          </w:p>
        </w:tc>
        <w:tc>
          <w:tcPr>
            <w:tcW w:w="973" w:type="dxa"/>
            <w:vMerge w:val="continue"/>
          </w:tcPr>
          <w:p>
            <w:pPr>
              <w:pStyle w:val="6"/>
              <w:spacing w:line="160" w:lineRule="atLeast"/>
              <w:jc w:val="center"/>
              <w:rPr>
                <w:rFonts w:hAnsi="宋体"/>
                <w:szCs w:val="21"/>
              </w:rPr>
            </w:pPr>
          </w:p>
        </w:tc>
        <w:tc>
          <w:tcPr>
            <w:tcW w:w="1096" w:type="dxa"/>
            <w:vMerge w:val="continue"/>
          </w:tcPr>
          <w:p>
            <w:pPr>
              <w:pStyle w:val="6"/>
              <w:spacing w:line="160" w:lineRule="atLeast"/>
              <w:jc w:val="center"/>
              <w:rPr>
                <w:rFonts w:hAnsi="宋体"/>
                <w:szCs w:val="21"/>
              </w:rPr>
            </w:pPr>
          </w:p>
        </w:tc>
        <w:tc>
          <w:tcPr>
            <w:tcW w:w="686" w:type="dxa"/>
            <w:vMerge w:val="continue"/>
            <w:vAlign w:val="center"/>
          </w:tcPr>
          <w:p>
            <w:pPr>
              <w:pStyle w:val="6"/>
              <w:spacing w:line="160" w:lineRule="atLeast"/>
              <w:jc w:val="center"/>
              <w:rPr>
                <w:rFonts w:hAnsi="宋体"/>
                <w:szCs w:val="21"/>
              </w:rPr>
            </w:pPr>
          </w:p>
        </w:tc>
        <w:tc>
          <w:tcPr>
            <w:tcW w:w="5986" w:type="dxa"/>
            <w:gridSpan w:val="2"/>
            <w:vAlign w:val="center"/>
          </w:tcPr>
          <w:p>
            <w:pPr>
              <w:pStyle w:val="6"/>
              <w:spacing w:line="300" w:lineRule="exact"/>
              <w:jc w:val="left"/>
              <w:rPr>
                <w:rFonts w:hAnsi="宋体"/>
                <w:szCs w:val="21"/>
              </w:rPr>
            </w:pPr>
            <w:r>
              <w:rPr>
                <w:rFonts w:hint="eastAsia" w:hAnsi="宋体"/>
                <w:szCs w:val="21"/>
              </w:rPr>
              <w:t>方案一般，内容欠详细，体系欠合理，可行性较差，得3.6-4.3分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27" w:type="dxa"/>
            <w:vMerge w:val="restart"/>
            <w:tcBorders>
              <w:top w:val="nil"/>
            </w:tcBorders>
            <w:vAlign w:val="center"/>
          </w:tcPr>
          <w:p>
            <w:pPr>
              <w:pStyle w:val="6"/>
              <w:spacing w:line="160" w:lineRule="atLeast"/>
              <w:jc w:val="center"/>
              <w:rPr>
                <w:rFonts w:hAnsi="宋体"/>
                <w:szCs w:val="21"/>
              </w:rPr>
            </w:pPr>
            <w:r>
              <w:rPr>
                <w:rFonts w:hint="eastAsia" w:hAnsi="宋体"/>
                <w:szCs w:val="21"/>
              </w:rPr>
              <w:t>2.2.4（2）</w:t>
            </w:r>
          </w:p>
        </w:tc>
        <w:tc>
          <w:tcPr>
            <w:tcW w:w="740" w:type="dxa"/>
            <w:vMerge w:val="restart"/>
            <w:tcBorders>
              <w:top w:val="nil"/>
            </w:tcBorders>
            <w:vAlign w:val="center"/>
          </w:tcPr>
          <w:p>
            <w:pPr>
              <w:pStyle w:val="6"/>
              <w:spacing w:line="160" w:lineRule="atLeast"/>
              <w:jc w:val="center"/>
              <w:rPr>
                <w:rFonts w:hint="eastAsia" w:hAnsi="宋体"/>
                <w:szCs w:val="21"/>
              </w:rPr>
            </w:pPr>
            <w:r>
              <w:rPr>
                <w:rFonts w:hint="eastAsia" w:hAnsi="宋体"/>
                <w:szCs w:val="21"/>
              </w:rPr>
              <w:t>主要人员</w:t>
            </w:r>
          </w:p>
        </w:tc>
        <w:tc>
          <w:tcPr>
            <w:tcW w:w="973" w:type="dxa"/>
            <w:vMerge w:val="restart"/>
            <w:tcBorders>
              <w:top w:val="nil"/>
            </w:tcBorders>
            <w:vAlign w:val="center"/>
          </w:tcPr>
          <w:p>
            <w:pPr>
              <w:pStyle w:val="6"/>
              <w:spacing w:line="160" w:lineRule="atLeast"/>
              <w:jc w:val="center"/>
              <w:rPr>
                <w:rFonts w:hAnsi="宋体"/>
                <w:szCs w:val="21"/>
              </w:rPr>
            </w:pPr>
            <w:r>
              <w:rPr>
                <w:rFonts w:hint="eastAsia" w:hAnsi="宋体"/>
                <w:szCs w:val="21"/>
              </w:rPr>
              <w:t>15分</w:t>
            </w:r>
          </w:p>
        </w:tc>
        <w:tc>
          <w:tcPr>
            <w:tcW w:w="1096" w:type="dxa"/>
            <w:vMerge w:val="restart"/>
            <w:vAlign w:val="center"/>
          </w:tcPr>
          <w:p>
            <w:pPr>
              <w:pStyle w:val="6"/>
              <w:spacing w:line="160" w:lineRule="atLeast"/>
              <w:jc w:val="center"/>
              <w:rPr>
                <w:rFonts w:hAnsi="宋体"/>
                <w:szCs w:val="21"/>
              </w:rPr>
            </w:pPr>
            <w:r>
              <w:rPr>
                <w:rFonts w:hint="eastAsia"/>
                <w:szCs w:val="21"/>
              </w:rPr>
              <w:t>主要人</w:t>
            </w:r>
            <w:r>
              <w:rPr>
                <w:rFonts w:hint="eastAsia" w:hAnsi="宋体"/>
                <w:szCs w:val="21"/>
              </w:rPr>
              <w:t>员</w:t>
            </w:r>
            <w:r>
              <w:rPr>
                <w:rFonts w:hint="eastAsia"/>
                <w:szCs w:val="21"/>
              </w:rPr>
              <w:t>任</w:t>
            </w:r>
            <w:r>
              <w:rPr>
                <w:szCs w:val="21"/>
              </w:rPr>
              <w:t>职资格与业绩</w:t>
            </w:r>
          </w:p>
        </w:tc>
        <w:tc>
          <w:tcPr>
            <w:tcW w:w="686" w:type="dxa"/>
            <w:vMerge w:val="restart"/>
            <w:vAlign w:val="center"/>
          </w:tcPr>
          <w:p>
            <w:pPr>
              <w:pStyle w:val="6"/>
              <w:spacing w:line="160" w:lineRule="atLeast"/>
              <w:jc w:val="center"/>
              <w:rPr>
                <w:rFonts w:hAnsi="宋体"/>
                <w:szCs w:val="21"/>
              </w:rPr>
            </w:pPr>
            <w:r>
              <w:rPr>
                <w:rFonts w:hint="eastAsia" w:hAnsi="宋体"/>
                <w:szCs w:val="21"/>
              </w:rPr>
              <w:t>15分</w:t>
            </w:r>
          </w:p>
        </w:tc>
        <w:tc>
          <w:tcPr>
            <w:tcW w:w="5986" w:type="dxa"/>
            <w:gridSpan w:val="2"/>
            <w:tcBorders>
              <w:bottom w:val="single" w:color="auto" w:sz="4" w:space="0"/>
            </w:tcBorders>
            <w:vAlign w:val="center"/>
          </w:tcPr>
          <w:p>
            <w:pPr>
              <w:jc w:val="left"/>
              <w:rPr>
                <w:rFonts w:hint="eastAsia" w:ascii="宋体" w:hAnsi="宋体"/>
                <w:bCs/>
                <w:kern w:val="2"/>
                <w:sz w:val="21"/>
                <w:szCs w:val="21"/>
              </w:rPr>
            </w:pPr>
            <w:r>
              <w:rPr>
                <w:rFonts w:hint="eastAsia" w:ascii="宋体" w:hAnsi="宋体"/>
                <w:bCs/>
                <w:kern w:val="2"/>
                <w:sz w:val="21"/>
                <w:szCs w:val="21"/>
              </w:rPr>
              <w:t>满足资格审查条件要求得9分；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vMerge w:val="continue"/>
            <w:vAlign w:val="center"/>
          </w:tcPr>
          <w:p>
            <w:pPr>
              <w:pStyle w:val="6"/>
              <w:spacing w:line="160" w:lineRule="atLeast"/>
              <w:jc w:val="center"/>
              <w:rPr>
                <w:rFonts w:hint="eastAsia" w:hAnsi="宋体"/>
                <w:szCs w:val="21"/>
              </w:rPr>
            </w:pPr>
          </w:p>
        </w:tc>
        <w:tc>
          <w:tcPr>
            <w:tcW w:w="740" w:type="dxa"/>
            <w:vMerge w:val="continue"/>
            <w:vAlign w:val="center"/>
          </w:tcPr>
          <w:p>
            <w:pPr>
              <w:pStyle w:val="6"/>
              <w:spacing w:line="160" w:lineRule="atLeast"/>
              <w:jc w:val="center"/>
              <w:rPr>
                <w:rFonts w:hint="eastAsia" w:hAnsi="宋体"/>
                <w:szCs w:val="21"/>
              </w:rPr>
            </w:pPr>
          </w:p>
        </w:tc>
        <w:tc>
          <w:tcPr>
            <w:tcW w:w="973" w:type="dxa"/>
            <w:vMerge w:val="continue"/>
            <w:vAlign w:val="center"/>
          </w:tcPr>
          <w:p>
            <w:pPr>
              <w:pStyle w:val="6"/>
              <w:spacing w:line="160" w:lineRule="atLeast"/>
              <w:jc w:val="center"/>
              <w:rPr>
                <w:rFonts w:hint="eastAsia" w:hAnsi="宋体"/>
                <w:szCs w:val="21"/>
              </w:rPr>
            </w:pPr>
          </w:p>
        </w:tc>
        <w:tc>
          <w:tcPr>
            <w:tcW w:w="1096" w:type="dxa"/>
            <w:vMerge w:val="continue"/>
            <w:vAlign w:val="center"/>
          </w:tcPr>
          <w:p>
            <w:pPr>
              <w:pStyle w:val="6"/>
              <w:spacing w:line="160" w:lineRule="atLeast"/>
              <w:jc w:val="center"/>
              <w:rPr>
                <w:rStyle w:val="16"/>
              </w:rPr>
            </w:pPr>
          </w:p>
        </w:tc>
        <w:tc>
          <w:tcPr>
            <w:tcW w:w="686" w:type="dxa"/>
            <w:vMerge w:val="continue"/>
            <w:vAlign w:val="center"/>
          </w:tcPr>
          <w:p>
            <w:pPr>
              <w:pStyle w:val="6"/>
              <w:spacing w:line="160" w:lineRule="atLeast"/>
              <w:jc w:val="center"/>
              <w:rPr>
                <w:rFonts w:hint="eastAsia" w:hAnsi="宋体"/>
                <w:szCs w:val="21"/>
              </w:rPr>
            </w:pPr>
          </w:p>
        </w:tc>
        <w:tc>
          <w:tcPr>
            <w:tcW w:w="1701" w:type="dxa"/>
            <w:vAlign w:val="center"/>
          </w:tcPr>
          <w:p>
            <w:pPr>
              <w:pStyle w:val="6"/>
              <w:spacing w:line="300" w:lineRule="exact"/>
              <w:jc w:val="center"/>
              <w:rPr>
                <w:rFonts w:hint="eastAsia" w:hAnsi="宋体"/>
              </w:rPr>
            </w:pPr>
            <w:r>
              <w:rPr>
                <w:rFonts w:hint="eastAsia" w:hAnsi="宋体"/>
              </w:rPr>
              <w:t>项目负责人</w:t>
            </w:r>
          </w:p>
        </w:tc>
        <w:tc>
          <w:tcPr>
            <w:tcW w:w="4285" w:type="dxa"/>
            <w:vAlign w:val="center"/>
          </w:tcPr>
          <w:p>
            <w:pPr>
              <w:jc w:val="left"/>
              <w:rPr>
                <w:rFonts w:hint="eastAsia" w:ascii="宋体" w:hAnsi="宋体"/>
                <w:kern w:val="2"/>
                <w:sz w:val="21"/>
              </w:rPr>
            </w:pPr>
            <w:r>
              <w:rPr>
                <w:rFonts w:hint="eastAsia" w:ascii="宋体" w:hAnsi="宋体"/>
                <w:kern w:val="2"/>
                <w:sz w:val="21"/>
                <w:szCs w:val="21"/>
              </w:rPr>
              <w:t>在满足资格审查条件基础上，作为项目负责人</w:t>
            </w:r>
            <w:r>
              <w:rPr>
                <w:rFonts w:hint="eastAsia" w:ascii="宋体" w:hAnsi="宋体"/>
                <w:sz w:val="21"/>
                <w:szCs w:val="21"/>
              </w:rPr>
              <w:t>近3年内(2019年7月1日至今，以合同签订日期为准)</w:t>
            </w:r>
            <w:r>
              <w:rPr>
                <w:rFonts w:hint="eastAsia" w:ascii="宋体" w:hAnsi="宋体"/>
                <w:kern w:val="2"/>
                <w:sz w:val="21"/>
                <w:szCs w:val="21"/>
              </w:rPr>
              <w:t xml:space="preserve"> 每</w:t>
            </w:r>
            <w:r>
              <w:rPr>
                <w:rFonts w:hint="eastAsia" w:ascii="宋体" w:hAnsi="宋体"/>
                <w:sz w:val="21"/>
                <w:szCs w:val="21"/>
              </w:rPr>
              <w:t>独立完成过</w:t>
            </w:r>
            <w:r>
              <w:rPr>
                <w:rFonts w:hint="eastAsia" w:ascii="宋体" w:hAnsi="宋体"/>
                <w:kern w:val="2"/>
                <w:sz w:val="21"/>
                <w:szCs w:val="21"/>
              </w:rPr>
              <w:t>1项</w:t>
            </w:r>
            <w:r>
              <w:rPr>
                <w:rFonts w:hint="eastAsia" w:ascii="宋体" w:hAnsi="宋体"/>
                <w:sz w:val="21"/>
                <w:szCs w:val="21"/>
              </w:rPr>
              <w:t>高速公路土地组卷业绩（包含主线和附属工程）</w:t>
            </w:r>
            <w:r>
              <w:rPr>
                <w:rFonts w:hint="eastAsia" w:ascii="宋体" w:hAnsi="宋体"/>
                <w:kern w:val="2"/>
                <w:sz w:val="21"/>
                <w:szCs w:val="21"/>
              </w:rPr>
              <w:t>加3分,最多加6分。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927" w:type="dxa"/>
            <w:tcBorders>
              <w:top w:val="nil"/>
            </w:tcBorders>
            <w:vAlign w:val="center"/>
          </w:tcPr>
          <w:p>
            <w:pPr>
              <w:pStyle w:val="6"/>
              <w:spacing w:line="160" w:lineRule="atLeast"/>
              <w:jc w:val="center"/>
              <w:rPr>
                <w:rFonts w:hAnsi="宋体"/>
                <w:szCs w:val="21"/>
              </w:rPr>
            </w:pPr>
            <w:r>
              <w:rPr>
                <w:rFonts w:hint="eastAsia" w:hAnsi="宋体"/>
                <w:szCs w:val="21"/>
              </w:rPr>
              <w:t>2.2.4（3）</w:t>
            </w:r>
          </w:p>
        </w:tc>
        <w:tc>
          <w:tcPr>
            <w:tcW w:w="740" w:type="dxa"/>
            <w:tcBorders>
              <w:top w:val="nil"/>
            </w:tcBorders>
            <w:vAlign w:val="center"/>
          </w:tcPr>
          <w:p>
            <w:pPr>
              <w:pStyle w:val="6"/>
              <w:spacing w:line="160" w:lineRule="atLeast"/>
              <w:jc w:val="center"/>
              <w:rPr>
                <w:rFonts w:hint="eastAsia" w:hAnsi="宋体"/>
                <w:szCs w:val="21"/>
              </w:rPr>
            </w:pPr>
            <w:r>
              <w:rPr>
                <w:rFonts w:hint="eastAsia" w:hAnsi="宋体"/>
                <w:szCs w:val="21"/>
              </w:rPr>
              <w:t>评标价</w:t>
            </w:r>
          </w:p>
        </w:tc>
        <w:tc>
          <w:tcPr>
            <w:tcW w:w="973" w:type="dxa"/>
            <w:tcBorders>
              <w:top w:val="nil"/>
            </w:tcBorders>
            <w:vAlign w:val="center"/>
          </w:tcPr>
          <w:p>
            <w:pPr>
              <w:pStyle w:val="6"/>
              <w:spacing w:line="160" w:lineRule="atLeast"/>
              <w:jc w:val="center"/>
              <w:rPr>
                <w:rFonts w:hAnsi="宋体"/>
                <w:szCs w:val="21"/>
              </w:rPr>
            </w:pPr>
            <w:r>
              <w:rPr>
                <w:rFonts w:hint="eastAsia" w:hAnsi="宋体"/>
                <w:szCs w:val="21"/>
              </w:rPr>
              <w:t>40分</w:t>
            </w:r>
          </w:p>
        </w:tc>
        <w:tc>
          <w:tcPr>
            <w:tcW w:w="1096" w:type="dxa"/>
            <w:vAlign w:val="center"/>
          </w:tcPr>
          <w:p>
            <w:pPr>
              <w:pStyle w:val="6"/>
              <w:spacing w:line="160" w:lineRule="atLeast"/>
              <w:jc w:val="center"/>
              <w:rPr>
                <w:rFonts w:hint="eastAsia" w:hAnsi="宋体"/>
                <w:szCs w:val="21"/>
              </w:rPr>
            </w:pPr>
            <w:r>
              <w:rPr>
                <w:rFonts w:hint="eastAsia" w:hAnsi="宋体"/>
                <w:szCs w:val="21"/>
              </w:rPr>
              <w:t>评标价</w:t>
            </w:r>
          </w:p>
        </w:tc>
        <w:tc>
          <w:tcPr>
            <w:tcW w:w="686" w:type="dxa"/>
            <w:vAlign w:val="center"/>
          </w:tcPr>
          <w:p>
            <w:pPr>
              <w:pStyle w:val="6"/>
              <w:spacing w:line="160" w:lineRule="atLeast"/>
              <w:jc w:val="center"/>
              <w:rPr>
                <w:rFonts w:hint="eastAsia" w:hAnsi="宋体"/>
                <w:szCs w:val="21"/>
              </w:rPr>
            </w:pPr>
            <w:r>
              <w:rPr>
                <w:rFonts w:hint="eastAsia" w:hAnsi="宋体"/>
                <w:szCs w:val="21"/>
              </w:rPr>
              <w:t>4</w:t>
            </w:r>
            <w:r>
              <w:rPr>
                <w:rFonts w:hAnsi="宋体"/>
                <w:szCs w:val="21"/>
              </w:rPr>
              <w:t>0</w:t>
            </w:r>
            <w:r>
              <w:rPr>
                <w:rFonts w:hint="eastAsia" w:hAnsi="宋体"/>
                <w:szCs w:val="21"/>
              </w:rPr>
              <w:t>分</w:t>
            </w:r>
          </w:p>
        </w:tc>
        <w:tc>
          <w:tcPr>
            <w:tcW w:w="5986" w:type="dxa"/>
            <w:gridSpan w:val="2"/>
            <w:vAlign w:val="center"/>
          </w:tcPr>
          <w:p>
            <w:pPr>
              <w:jc w:val="left"/>
              <w:rPr>
                <w:rFonts w:ascii="宋体" w:hAnsi="宋体"/>
                <w:kern w:val="2"/>
                <w:sz w:val="21"/>
                <w:szCs w:val="21"/>
              </w:rPr>
            </w:pPr>
            <w:r>
              <w:rPr>
                <w:rFonts w:hint="eastAsia" w:ascii="宋体" w:hAnsi="宋体"/>
                <w:kern w:val="2"/>
                <w:sz w:val="21"/>
                <w:szCs w:val="21"/>
              </w:rPr>
              <w:t>评标价得分计算公式示例：</w:t>
            </w:r>
          </w:p>
          <w:p>
            <w:pPr>
              <w:jc w:val="left"/>
              <w:rPr>
                <w:rFonts w:hint="eastAsia" w:ascii="宋体" w:hAnsi="宋体"/>
                <w:kern w:val="2"/>
                <w:sz w:val="21"/>
                <w:szCs w:val="21"/>
              </w:rPr>
            </w:pPr>
            <w:r>
              <w:rPr>
                <w:rFonts w:hint="eastAsia" w:ascii="宋体" w:hAnsi="宋体"/>
                <w:kern w:val="2"/>
                <w:sz w:val="21"/>
                <w:szCs w:val="21"/>
              </w:rPr>
              <w:t>（1）如果投标人的评标价＞评标基准价，则评标价得分=F-（投标人评标价-评标基准价）/评标基准价×100×E1；</w:t>
            </w:r>
          </w:p>
          <w:p>
            <w:pPr>
              <w:jc w:val="left"/>
              <w:rPr>
                <w:rFonts w:hint="eastAsia" w:ascii="宋体" w:hAnsi="宋体"/>
                <w:kern w:val="2"/>
                <w:sz w:val="21"/>
                <w:szCs w:val="21"/>
              </w:rPr>
            </w:pPr>
            <w:r>
              <w:rPr>
                <w:rFonts w:hint="eastAsia" w:ascii="宋体" w:hAnsi="宋体"/>
                <w:kern w:val="2"/>
                <w:sz w:val="21"/>
                <w:szCs w:val="21"/>
              </w:rPr>
              <w:t>（2）如果投标人的评标价≤评标基准价，则评标价得分=F+(投标人评标价-评标基准价)/评标基准价×100×E2。</w:t>
            </w:r>
          </w:p>
          <w:p>
            <w:pPr>
              <w:jc w:val="left"/>
              <w:rPr>
                <w:rFonts w:hint="eastAsia" w:ascii="宋体" w:hAnsi="宋体"/>
                <w:kern w:val="2"/>
                <w:sz w:val="21"/>
                <w:szCs w:val="21"/>
              </w:rPr>
            </w:pPr>
            <w:r>
              <w:rPr>
                <w:rFonts w:hint="eastAsia" w:ascii="宋体" w:hAnsi="宋体"/>
                <w:sz w:val="21"/>
                <w:szCs w:val="21"/>
              </w:rPr>
              <w:t>其中，F=4</w:t>
            </w:r>
            <w:r>
              <w:rPr>
                <w:rFonts w:ascii="宋体" w:hAnsi="宋体"/>
                <w:sz w:val="21"/>
                <w:szCs w:val="21"/>
              </w:rPr>
              <w:t>0</w:t>
            </w:r>
            <w:r>
              <w:rPr>
                <w:rFonts w:hint="eastAsia" w:ascii="宋体" w:hAnsi="宋体"/>
                <w:sz w:val="21"/>
                <w:szCs w:val="21"/>
              </w:rPr>
              <w:t>；E1=0.8；E2=0.4；评标价最低得分为0分。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7" w:type="dxa"/>
            <w:vMerge w:val="restart"/>
            <w:vAlign w:val="center"/>
          </w:tcPr>
          <w:p>
            <w:pPr>
              <w:pStyle w:val="6"/>
              <w:spacing w:line="160" w:lineRule="atLeast"/>
              <w:jc w:val="center"/>
              <w:rPr>
                <w:rFonts w:hAnsi="宋体"/>
                <w:szCs w:val="21"/>
              </w:rPr>
            </w:pPr>
            <w:r>
              <w:rPr>
                <w:rFonts w:hint="eastAsia" w:hAnsi="宋体"/>
                <w:szCs w:val="21"/>
              </w:rPr>
              <w:t>2.2.4（4）</w:t>
            </w:r>
          </w:p>
        </w:tc>
        <w:tc>
          <w:tcPr>
            <w:tcW w:w="740" w:type="dxa"/>
            <w:vMerge w:val="restart"/>
            <w:vAlign w:val="center"/>
          </w:tcPr>
          <w:p>
            <w:pPr>
              <w:pStyle w:val="6"/>
              <w:spacing w:line="160" w:lineRule="atLeast"/>
              <w:jc w:val="center"/>
              <w:rPr>
                <w:rFonts w:hAnsi="宋体"/>
                <w:szCs w:val="21"/>
              </w:rPr>
            </w:pPr>
            <w:r>
              <w:rPr>
                <w:rFonts w:hint="eastAsia" w:hAnsi="宋体"/>
                <w:szCs w:val="21"/>
              </w:rPr>
              <w:t>其他因素</w:t>
            </w:r>
          </w:p>
        </w:tc>
        <w:tc>
          <w:tcPr>
            <w:tcW w:w="973" w:type="dxa"/>
            <w:vMerge w:val="restart"/>
            <w:tcBorders>
              <w:top w:val="single" w:color="auto" w:sz="4" w:space="0"/>
            </w:tcBorders>
            <w:vAlign w:val="center"/>
          </w:tcPr>
          <w:p>
            <w:pPr>
              <w:pStyle w:val="6"/>
              <w:spacing w:line="160" w:lineRule="atLeast"/>
              <w:jc w:val="center"/>
              <w:rPr>
                <w:rFonts w:hAnsi="宋体"/>
                <w:szCs w:val="21"/>
              </w:rPr>
            </w:pPr>
            <w:r>
              <w:rPr>
                <w:rFonts w:hint="eastAsia" w:hAnsi="宋体"/>
                <w:szCs w:val="21"/>
              </w:rPr>
              <w:t>15分</w:t>
            </w:r>
          </w:p>
        </w:tc>
        <w:tc>
          <w:tcPr>
            <w:tcW w:w="1096" w:type="dxa"/>
            <w:vMerge w:val="restart"/>
            <w:tcBorders>
              <w:top w:val="single" w:color="auto" w:sz="4" w:space="0"/>
            </w:tcBorders>
            <w:vAlign w:val="center"/>
          </w:tcPr>
          <w:p>
            <w:pPr>
              <w:pStyle w:val="6"/>
              <w:spacing w:line="160" w:lineRule="atLeast"/>
              <w:jc w:val="center"/>
              <w:rPr>
                <w:rFonts w:hAnsi="宋体"/>
                <w:szCs w:val="21"/>
              </w:rPr>
            </w:pPr>
            <w:r>
              <w:rPr>
                <w:rFonts w:hint="eastAsia" w:hAnsi="宋体"/>
                <w:szCs w:val="21"/>
              </w:rPr>
              <w:t>业绩</w:t>
            </w:r>
          </w:p>
        </w:tc>
        <w:tc>
          <w:tcPr>
            <w:tcW w:w="686" w:type="dxa"/>
            <w:vMerge w:val="restart"/>
            <w:tcBorders>
              <w:top w:val="single" w:color="auto" w:sz="4" w:space="0"/>
            </w:tcBorders>
            <w:vAlign w:val="center"/>
          </w:tcPr>
          <w:p>
            <w:pPr>
              <w:pStyle w:val="6"/>
              <w:spacing w:line="160" w:lineRule="atLeast"/>
              <w:jc w:val="center"/>
              <w:rPr>
                <w:rFonts w:hAnsi="宋体"/>
                <w:szCs w:val="21"/>
              </w:rPr>
            </w:pPr>
            <w:r>
              <w:rPr>
                <w:rFonts w:hint="eastAsia" w:hAnsi="宋体"/>
                <w:szCs w:val="21"/>
              </w:rPr>
              <w:t>15分</w:t>
            </w:r>
          </w:p>
        </w:tc>
        <w:tc>
          <w:tcPr>
            <w:tcW w:w="5986" w:type="dxa"/>
            <w:gridSpan w:val="2"/>
            <w:tcBorders>
              <w:top w:val="single" w:color="auto" w:sz="4" w:space="0"/>
              <w:bottom w:val="single" w:color="auto" w:sz="4" w:space="0"/>
            </w:tcBorders>
            <w:vAlign w:val="center"/>
          </w:tcPr>
          <w:p>
            <w:pPr>
              <w:rPr>
                <w:rFonts w:hint="eastAsia" w:ascii="宋体" w:hAnsi="宋体"/>
                <w:kern w:val="2"/>
                <w:sz w:val="21"/>
                <w:szCs w:val="21"/>
              </w:rPr>
            </w:pPr>
            <w:r>
              <w:rPr>
                <w:rFonts w:hint="eastAsia" w:ascii="宋体" w:hAnsi="宋体"/>
                <w:kern w:val="2"/>
                <w:sz w:val="21"/>
                <w:szCs w:val="21"/>
              </w:rPr>
              <w:t>满足资格审查条件要求得9分；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7" w:type="dxa"/>
            <w:vMerge w:val="continue"/>
            <w:vAlign w:val="center"/>
          </w:tcPr>
          <w:p>
            <w:pPr>
              <w:pStyle w:val="6"/>
              <w:spacing w:line="160" w:lineRule="atLeast"/>
              <w:jc w:val="center"/>
              <w:rPr>
                <w:rFonts w:hint="eastAsia" w:hAnsi="宋体"/>
                <w:szCs w:val="21"/>
              </w:rPr>
            </w:pPr>
          </w:p>
        </w:tc>
        <w:tc>
          <w:tcPr>
            <w:tcW w:w="740" w:type="dxa"/>
            <w:vMerge w:val="continue"/>
            <w:vAlign w:val="center"/>
          </w:tcPr>
          <w:p>
            <w:pPr>
              <w:pStyle w:val="6"/>
              <w:spacing w:line="160" w:lineRule="atLeast"/>
              <w:jc w:val="center"/>
              <w:rPr>
                <w:rFonts w:hint="eastAsia" w:hAnsi="宋体"/>
                <w:szCs w:val="21"/>
              </w:rPr>
            </w:pPr>
          </w:p>
        </w:tc>
        <w:tc>
          <w:tcPr>
            <w:tcW w:w="973" w:type="dxa"/>
            <w:vMerge w:val="continue"/>
            <w:vAlign w:val="center"/>
          </w:tcPr>
          <w:p>
            <w:pPr>
              <w:pStyle w:val="6"/>
              <w:spacing w:line="160" w:lineRule="atLeast"/>
              <w:jc w:val="center"/>
              <w:rPr>
                <w:rFonts w:hint="eastAsia" w:hAnsi="宋体"/>
                <w:szCs w:val="21"/>
              </w:rPr>
            </w:pPr>
          </w:p>
        </w:tc>
        <w:tc>
          <w:tcPr>
            <w:tcW w:w="1096" w:type="dxa"/>
            <w:vMerge w:val="continue"/>
            <w:vAlign w:val="center"/>
          </w:tcPr>
          <w:p>
            <w:pPr>
              <w:pStyle w:val="6"/>
              <w:spacing w:line="160" w:lineRule="atLeast"/>
              <w:jc w:val="center"/>
              <w:rPr>
                <w:rFonts w:hint="eastAsia" w:hAnsi="宋体"/>
                <w:szCs w:val="21"/>
              </w:rPr>
            </w:pPr>
          </w:p>
        </w:tc>
        <w:tc>
          <w:tcPr>
            <w:tcW w:w="686" w:type="dxa"/>
            <w:vMerge w:val="continue"/>
            <w:vAlign w:val="center"/>
          </w:tcPr>
          <w:p>
            <w:pPr>
              <w:pStyle w:val="6"/>
              <w:spacing w:line="160" w:lineRule="atLeast"/>
              <w:jc w:val="center"/>
              <w:rPr>
                <w:rFonts w:hint="eastAsia" w:hAnsi="宋体"/>
                <w:szCs w:val="21"/>
              </w:rPr>
            </w:pPr>
          </w:p>
        </w:tc>
        <w:tc>
          <w:tcPr>
            <w:tcW w:w="5986" w:type="dxa"/>
            <w:gridSpan w:val="2"/>
            <w:tcBorders>
              <w:top w:val="single" w:color="auto" w:sz="4" w:space="0"/>
            </w:tcBorders>
            <w:vAlign w:val="center"/>
          </w:tcPr>
          <w:p>
            <w:pPr>
              <w:rPr>
                <w:rFonts w:hint="eastAsia" w:ascii="宋体" w:hAnsi="宋体"/>
                <w:kern w:val="2"/>
                <w:sz w:val="21"/>
                <w:szCs w:val="21"/>
              </w:rPr>
            </w:pPr>
            <w:r>
              <w:rPr>
                <w:rFonts w:hint="eastAsia" w:ascii="宋体" w:hAnsi="宋体"/>
                <w:sz w:val="21"/>
                <w:szCs w:val="21"/>
              </w:rPr>
              <w:t>近3年内(2019年7月1日至今，以合同签订日期为准)</w:t>
            </w:r>
            <w:r>
              <w:rPr>
                <w:rFonts w:hint="eastAsia" w:ascii="宋体" w:hAnsi="宋体"/>
                <w:kern w:val="2"/>
                <w:sz w:val="21"/>
                <w:szCs w:val="21"/>
              </w:rPr>
              <w:t xml:space="preserve"> 每</w:t>
            </w:r>
            <w:r>
              <w:rPr>
                <w:rFonts w:hint="eastAsia" w:ascii="宋体" w:hAnsi="宋体"/>
                <w:sz w:val="21"/>
                <w:szCs w:val="21"/>
              </w:rPr>
              <w:t>增加</w:t>
            </w:r>
            <w:r>
              <w:rPr>
                <w:rFonts w:hint="eastAsia" w:ascii="宋体" w:hAnsi="宋体"/>
                <w:kern w:val="2"/>
                <w:sz w:val="21"/>
                <w:szCs w:val="21"/>
              </w:rPr>
              <w:t>1项</w:t>
            </w:r>
            <w:r>
              <w:rPr>
                <w:rFonts w:hint="eastAsia" w:ascii="宋体" w:hAnsi="宋体"/>
                <w:sz w:val="21"/>
                <w:szCs w:val="21"/>
              </w:rPr>
              <w:t>高速公路土地组卷业绩（包含主线和附属工程）</w:t>
            </w:r>
            <w:r>
              <w:rPr>
                <w:rFonts w:hint="eastAsia" w:ascii="宋体" w:hAnsi="宋体"/>
                <w:kern w:val="2"/>
                <w:sz w:val="21"/>
                <w:szCs w:val="21"/>
              </w:rPr>
              <w:t>加3分,最多加6分。</w:t>
            </w:r>
          </w:p>
        </w:tc>
      </w:tr>
    </w:tbl>
    <w:p>
      <w:pPr>
        <w:pStyle w:val="6"/>
        <w:rPr>
          <w:rFonts w:hint="eastAsia" w:hAnsi="宋体"/>
          <w:szCs w:val="21"/>
        </w:rPr>
      </w:pPr>
      <w:r>
        <w:rPr>
          <w:rFonts w:hint="eastAsia" w:hAnsi="宋体"/>
          <w:szCs w:val="21"/>
        </w:rPr>
        <w:t>注：1、</w:t>
      </w:r>
      <w:r>
        <w:rPr>
          <w:rFonts w:hAnsi="宋体"/>
        </w:rPr>
        <w:t>各评分因素得分应以评标委员会各成员的打分平均值确定</w:t>
      </w:r>
      <w:r>
        <w:rPr>
          <w:rFonts w:hint="eastAsia" w:hAnsi="宋体"/>
          <w:szCs w:val="21"/>
        </w:rPr>
        <w:t>。</w:t>
      </w:r>
    </w:p>
    <w:p>
      <w:pPr>
        <w:pStyle w:val="6"/>
        <w:ind w:firstLine="428" w:firstLineChars="204"/>
        <w:rPr>
          <w:rFonts w:hint="eastAsia" w:hAnsi="宋体"/>
        </w:rPr>
      </w:pPr>
      <w:r>
        <w:rPr>
          <w:rFonts w:hint="eastAsia" w:hAnsi="宋体"/>
        </w:rPr>
        <w:t>2、缺项则该项得0分。</w:t>
      </w:r>
      <w:bookmarkEnd w:id="2"/>
      <w:bookmarkEnd w:id="25"/>
      <w:bookmarkEnd w:id="26"/>
      <w:bookmarkEnd w:id="27"/>
      <w:bookmarkEnd w:id="28"/>
      <w:bookmarkEnd w:id="2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E2192E"/>
    <w:rsid w:val="00AD4B21"/>
    <w:rsid w:val="00E2192E"/>
    <w:rsid w:val="6ADE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szCs w:val="20"/>
      <w:lang w:val="en-US" w:eastAsia="zh-CN" w:bidi="ar-SA"/>
    </w:rPr>
  </w:style>
  <w:style w:type="paragraph" w:styleId="4">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uiPriority w:val="0"/>
    <w:rPr>
      <w:kern w:val="2"/>
      <w:szCs w:val="24"/>
    </w:rPr>
  </w:style>
  <w:style w:type="paragraph" w:styleId="3">
    <w:name w:val="Body Text 2"/>
    <w:basedOn w:val="1"/>
    <w:link w:val="28"/>
    <w:semiHidden/>
    <w:unhideWhenUsed/>
    <w:uiPriority w:val="99"/>
    <w:pPr>
      <w:spacing w:after="120" w:line="480" w:lineRule="auto"/>
    </w:pPr>
  </w:style>
  <w:style w:type="paragraph" w:styleId="6">
    <w:name w:val="Plain Text"/>
    <w:basedOn w:val="1"/>
    <w:link w:val="18"/>
    <w:qFormat/>
    <w:uiPriority w:val="0"/>
    <w:rPr>
      <w:rFonts w:ascii="宋体" w:hAnsi="Courier New" w:eastAsiaTheme="minorEastAsia" w:cstheme="minorBidi"/>
      <w:kern w:val="2"/>
      <w:sz w:val="21"/>
      <w:szCs w:val="22"/>
    </w:rPr>
  </w:style>
  <w:style w:type="paragraph" w:styleId="7">
    <w:name w:val="footer"/>
    <w:basedOn w:val="1"/>
    <w:link w:val="13"/>
    <w:semiHidden/>
    <w:unhideWhenUsed/>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8">
    <w:name w:val="header"/>
    <w:basedOn w:val="1"/>
    <w:link w:val="12"/>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Normal (Web)"/>
    <w:basedOn w:val="1"/>
    <w:link w:val="15"/>
    <w:uiPriority w:val="0"/>
    <w:pPr>
      <w:widowControl/>
      <w:spacing w:before="100" w:beforeAutospacing="1" w:after="100" w:afterAutospacing="1" w:line="432" w:lineRule="auto"/>
      <w:ind w:firstLine="480"/>
      <w:jc w:val="left"/>
    </w:pPr>
    <w:rPr>
      <w:rFonts w:ascii="宋体" w:hAnsi="宋体" w:cs="宋体" w:eastAsiaTheme="minorEastAsia"/>
      <w:kern w:val="2"/>
      <w:sz w:val="24"/>
      <w:szCs w:val="24"/>
    </w:rPr>
  </w:style>
  <w:style w:type="character" w:customStyle="1" w:styleId="12">
    <w:name w:val="页眉 Char"/>
    <w:basedOn w:val="11"/>
    <w:link w:val="8"/>
    <w:semiHidden/>
    <w:uiPriority w:val="99"/>
    <w:rPr>
      <w:sz w:val="18"/>
      <w:szCs w:val="18"/>
    </w:rPr>
  </w:style>
  <w:style w:type="character" w:customStyle="1" w:styleId="13">
    <w:name w:val="页脚 Char"/>
    <w:basedOn w:val="11"/>
    <w:link w:val="7"/>
    <w:semiHidden/>
    <w:uiPriority w:val="99"/>
    <w:rPr>
      <w:sz w:val="18"/>
      <w:szCs w:val="18"/>
    </w:rPr>
  </w:style>
  <w:style w:type="character" w:customStyle="1" w:styleId="14">
    <w:name w:val="纯文本 Char2"/>
    <w:link w:val="6"/>
    <w:qFormat/>
    <w:uiPriority w:val="0"/>
    <w:rPr>
      <w:rFonts w:ascii="宋体" w:hAnsi="Courier New"/>
    </w:rPr>
  </w:style>
  <w:style w:type="character" w:customStyle="1" w:styleId="15">
    <w:name w:val="普通(网站) Char1"/>
    <w:link w:val="9"/>
    <w:uiPriority w:val="0"/>
    <w:rPr>
      <w:rFonts w:ascii="宋体" w:hAnsi="宋体" w:cs="宋体"/>
      <w:sz w:val="24"/>
      <w:szCs w:val="24"/>
    </w:rPr>
  </w:style>
  <w:style w:type="character" w:customStyle="1" w:styleId="16">
    <w:name w:val="正文文本 (2) + 10 p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17">
    <w:name w:val="正文文本 Char"/>
    <w:basedOn w:val="11"/>
    <w:link w:val="2"/>
    <w:uiPriority w:val="0"/>
    <w:rPr>
      <w:rFonts w:ascii="Times New Roman" w:hAnsi="Times New Roman" w:eastAsia="宋体" w:cs="Times New Roman"/>
      <w:sz w:val="28"/>
      <w:szCs w:val="24"/>
    </w:rPr>
  </w:style>
  <w:style w:type="character" w:customStyle="1" w:styleId="18">
    <w:name w:val="纯文本 Char"/>
    <w:basedOn w:val="11"/>
    <w:link w:val="6"/>
    <w:semiHidden/>
    <w:uiPriority w:val="99"/>
    <w:rPr>
      <w:rFonts w:ascii="宋体" w:hAnsi="Courier New" w:eastAsia="宋体" w:cs="Courier New"/>
      <w:kern w:val="28"/>
      <w:szCs w:val="21"/>
    </w:rPr>
  </w:style>
  <w:style w:type="paragraph" w:customStyle="1" w:styleId="19">
    <w:name w:val="样式124"/>
    <w:basedOn w:val="5"/>
    <w:qFormat/>
    <w:uiPriority w:val="0"/>
    <w:pPr>
      <w:spacing w:before="0" w:after="0" w:line="360" w:lineRule="auto"/>
      <w:ind w:firstLine="200" w:firstLineChars="200"/>
    </w:pPr>
    <w:rPr>
      <w:sz w:val="24"/>
    </w:rPr>
  </w:style>
  <w:style w:type="paragraph" w:customStyle="1" w:styleId="20">
    <w:name w:val="样式26"/>
    <w:basedOn w:val="1"/>
    <w:qFormat/>
    <w:uiPriority w:val="0"/>
    <w:pPr>
      <w:keepNext/>
      <w:keepLines/>
      <w:spacing w:line="360" w:lineRule="auto"/>
      <w:ind w:firstLine="562" w:firstLineChars="200"/>
      <w:outlineLvl w:val="2"/>
    </w:pPr>
    <w:rPr>
      <w:b/>
      <w:bCs/>
      <w:sz w:val="24"/>
      <w:szCs w:val="32"/>
    </w:rPr>
  </w:style>
  <w:style w:type="paragraph" w:customStyle="1" w:styleId="21">
    <w:name w:val="样式25"/>
    <w:basedOn w:val="1"/>
    <w:qFormat/>
    <w:uiPriority w:val="0"/>
    <w:pPr>
      <w:keepNext/>
      <w:keepLines/>
      <w:spacing w:line="360" w:lineRule="auto"/>
      <w:ind w:firstLine="200" w:firstLineChars="200"/>
      <w:outlineLvl w:val="2"/>
    </w:pPr>
    <w:rPr>
      <w:b/>
      <w:bCs/>
      <w:sz w:val="24"/>
      <w:szCs w:val="32"/>
    </w:rPr>
  </w:style>
  <w:style w:type="paragraph" w:customStyle="1" w:styleId="22">
    <w:name w:val="样式30"/>
    <w:basedOn w:val="5"/>
    <w:qFormat/>
    <w:uiPriority w:val="0"/>
    <w:pPr>
      <w:spacing w:before="0" w:after="0" w:line="360" w:lineRule="auto"/>
      <w:ind w:firstLine="200" w:firstLineChars="200"/>
    </w:pPr>
    <w:rPr>
      <w:sz w:val="24"/>
    </w:rPr>
  </w:style>
  <w:style w:type="paragraph" w:customStyle="1" w:styleId="23">
    <w:name w:val="样式22"/>
    <w:basedOn w:val="1"/>
    <w:qFormat/>
    <w:uiPriority w:val="0"/>
    <w:pPr>
      <w:keepNext/>
      <w:keepLines/>
      <w:spacing w:line="360" w:lineRule="auto"/>
      <w:ind w:firstLine="200" w:firstLineChars="200"/>
      <w:outlineLvl w:val="2"/>
    </w:pPr>
    <w:rPr>
      <w:b/>
      <w:bCs/>
      <w:sz w:val="24"/>
      <w:szCs w:val="32"/>
    </w:rPr>
  </w:style>
  <w:style w:type="paragraph" w:customStyle="1" w:styleId="24">
    <w:name w:val="样式54"/>
    <w:basedOn w:val="4"/>
    <w:qFormat/>
    <w:uiPriority w:val="0"/>
    <w:pPr>
      <w:spacing w:before="0" w:after="0" w:line="360" w:lineRule="auto"/>
      <w:jc w:val="center"/>
    </w:pPr>
    <w:rPr>
      <w:rFonts w:ascii="Arial" w:hAnsi="Arial" w:eastAsia="黑体" w:cs="Times New Roman"/>
    </w:rPr>
  </w:style>
  <w:style w:type="paragraph" w:customStyle="1" w:styleId="25">
    <w:name w:val="样式 首行缩进:  1 厘米 行距: 固定值 25 磅"/>
    <w:basedOn w:val="1"/>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26">
    <w:name w:val="样式27"/>
    <w:basedOn w:val="5"/>
    <w:qFormat/>
    <w:uiPriority w:val="0"/>
    <w:pPr>
      <w:spacing w:before="0" w:after="0" w:line="360" w:lineRule="auto"/>
      <w:ind w:firstLine="200" w:firstLineChars="200"/>
    </w:pPr>
    <w:rPr>
      <w:sz w:val="24"/>
    </w:rPr>
  </w:style>
  <w:style w:type="paragraph" w:customStyle="1" w:styleId="27">
    <w:name w:val="样式23"/>
    <w:basedOn w:val="1"/>
    <w:qFormat/>
    <w:uiPriority w:val="0"/>
    <w:pPr>
      <w:keepNext/>
      <w:keepLines/>
      <w:spacing w:line="360" w:lineRule="auto"/>
      <w:ind w:firstLine="200" w:firstLineChars="200"/>
      <w:outlineLvl w:val="2"/>
    </w:pPr>
    <w:rPr>
      <w:b/>
      <w:bCs/>
      <w:sz w:val="24"/>
      <w:szCs w:val="32"/>
    </w:rPr>
  </w:style>
  <w:style w:type="character" w:customStyle="1" w:styleId="28">
    <w:name w:val="正文文本 2 Char"/>
    <w:basedOn w:val="11"/>
    <w:link w:val="3"/>
    <w:semiHidden/>
    <w:uiPriority w:val="99"/>
    <w:rPr>
      <w:rFonts w:ascii="Times New Roman" w:hAnsi="Times New Roman" w:eastAsia="宋体" w:cs="Times New Roman"/>
      <w:kern w:val="28"/>
      <w:sz w:val="28"/>
      <w:szCs w:val="20"/>
    </w:rPr>
  </w:style>
  <w:style w:type="character" w:customStyle="1" w:styleId="29">
    <w:name w:val="标题 3 Char"/>
    <w:basedOn w:val="11"/>
    <w:link w:val="5"/>
    <w:semiHidden/>
    <w:uiPriority w:val="9"/>
    <w:rPr>
      <w:rFonts w:ascii="Times New Roman" w:hAnsi="Times New Roman" w:eastAsia="宋体" w:cs="Times New Roman"/>
      <w:b/>
      <w:bCs/>
      <w:kern w:val="28"/>
      <w:sz w:val="32"/>
      <w:szCs w:val="32"/>
    </w:rPr>
  </w:style>
  <w:style w:type="character" w:customStyle="1" w:styleId="30">
    <w:name w:val="标题 2 Char"/>
    <w:basedOn w:val="11"/>
    <w:link w:val="4"/>
    <w:semiHidden/>
    <w:uiPriority w:val="9"/>
    <w:rPr>
      <w:rFonts w:asciiTheme="majorHAnsi" w:hAnsiTheme="majorHAnsi" w:eastAsiaTheme="majorEastAsia" w:cstheme="majorBidi"/>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5435</Words>
  <Characters>5994</Characters>
  <Lines>45</Lines>
  <Paragraphs>12</Paragraphs>
  <TotalTime>0</TotalTime>
  <ScaleCrop>false</ScaleCrop>
  <LinksUpToDate>false</LinksUpToDate>
  <CharactersWithSpaces>6069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2022-07-04T07:33:00Z</dcterms:created>
  <dc:creator>王峥</dc:creator>
  <cp:lastModifiedBy>admin</cp:lastModifiedBy>
  <dcterms:modified xsi:type="dcterms:W3CDTF">2022-07-05T00:26:02Z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650C39C2C5C4437B9145CCA40F1ECDB0</vt:lpwstr>
  </property>
</Properties>
</file>